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6BA4F" w14:textId="58BC27C0" w:rsidR="00107BA1" w:rsidRPr="00F542A0" w:rsidRDefault="00107BA1" w:rsidP="00107BA1">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871EBA">
        <w:rPr>
          <w:rFonts w:ascii="Arial" w:eastAsia="SimSun" w:hAnsi="Arial" w:cs="Arial"/>
          <w:b/>
          <w:sz w:val="24"/>
          <w:szCs w:val="24"/>
          <w:lang w:eastAsia="zh-CN"/>
        </w:rPr>
        <w:t>5r</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00104DCC" w:rsidRPr="00104DCC">
        <w:rPr>
          <w:rFonts w:ascii="Arial" w:eastAsia="SimSun" w:hAnsi="Arial" w:cs="Arial"/>
          <w:b/>
          <w:sz w:val="24"/>
          <w:szCs w:val="24"/>
          <w:lang w:eastAsia="zh-CN"/>
        </w:rPr>
        <w:t>R4-2506535</w:t>
      </w:r>
    </w:p>
    <w:p w14:paraId="2E0410B7" w14:textId="1CF7326E" w:rsidR="004D7E41" w:rsidRPr="0012718A" w:rsidRDefault="00871EBA" w:rsidP="004A6294">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w:t>
      </w:r>
      <w:r w:rsidR="00107BA1" w:rsidRPr="00F542A0">
        <w:rPr>
          <w:rFonts w:ascii="Arial" w:eastAsia="SimSun" w:hAnsi="Arial" w:cs="Arial"/>
          <w:b/>
          <w:sz w:val="24"/>
          <w:szCs w:val="24"/>
          <w:lang w:eastAsia="zh-CN"/>
        </w:rPr>
        <w:t xml:space="preserve">, </w:t>
      </w:r>
      <w:r w:rsidR="00107BA1">
        <w:rPr>
          <w:rFonts w:ascii="Arial" w:eastAsia="SimSun" w:hAnsi="Arial" w:cs="Arial"/>
          <w:b/>
          <w:sz w:val="24"/>
          <w:szCs w:val="24"/>
          <w:lang w:eastAsia="zh-CN"/>
        </w:rPr>
        <w:t>0</w:t>
      </w:r>
      <w:r w:rsidR="00107BA1" w:rsidRPr="00F542A0">
        <w:rPr>
          <w:rFonts w:ascii="Arial" w:eastAsia="SimSun" w:hAnsi="Arial" w:cs="Arial"/>
          <w:b/>
          <w:sz w:val="24"/>
          <w:szCs w:val="24"/>
          <w:lang w:eastAsia="zh-CN"/>
        </w:rPr>
        <w:t>7</w:t>
      </w:r>
      <w:r w:rsidR="00107BA1" w:rsidRPr="00F542A0">
        <w:rPr>
          <w:rFonts w:ascii="Arial" w:eastAsia="SimSun" w:hAnsi="Arial" w:cs="Arial"/>
          <w:b/>
          <w:sz w:val="24"/>
          <w:szCs w:val="24"/>
          <w:vertAlign w:val="superscript"/>
          <w:lang w:eastAsia="zh-CN"/>
        </w:rPr>
        <w:t>th</w:t>
      </w:r>
      <w:r w:rsidR="00107BA1" w:rsidRPr="00F542A0">
        <w:rPr>
          <w:rFonts w:ascii="Arial" w:eastAsia="SimSun" w:hAnsi="Arial" w:cs="Arial"/>
          <w:b/>
          <w:sz w:val="24"/>
          <w:szCs w:val="24"/>
          <w:lang w:eastAsia="zh-CN"/>
        </w:rPr>
        <w:t xml:space="preserve"> – </w:t>
      </w:r>
      <w:r w:rsidR="00107BA1">
        <w:rPr>
          <w:rFonts w:ascii="Arial" w:eastAsia="SimSun" w:hAnsi="Arial" w:cs="Arial"/>
          <w:b/>
          <w:sz w:val="24"/>
          <w:szCs w:val="24"/>
          <w:lang w:eastAsia="zh-CN"/>
        </w:rPr>
        <w:t>11</w:t>
      </w:r>
      <w:r w:rsidR="00107BA1">
        <w:rPr>
          <w:rFonts w:ascii="Arial" w:eastAsia="SimSun" w:hAnsi="Arial" w:cs="Arial"/>
          <w:b/>
          <w:sz w:val="24"/>
          <w:szCs w:val="24"/>
          <w:vertAlign w:val="superscript"/>
          <w:lang w:eastAsia="zh-CN"/>
        </w:rPr>
        <w:t>th</w:t>
      </w:r>
      <w:r w:rsidR="00107BA1" w:rsidRPr="00F542A0">
        <w:rPr>
          <w:rFonts w:ascii="Arial" w:eastAsia="SimSun" w:hAnsi="Arial" w:cs="Arial"/>
          <w:b/>
          <w:sz w:val="24"/>
          <w:szCs w:val="24"/>
          <w:lang w:eastAsia="zh-CN"/>
        </w:rPr>
        <w:t xml:space="preserve"> </w:t>
      </w:r>
      <w:r w:rsidR="00107BA1">
        <w:rPr>
          <w:rFonts w:ascii="Arial" w:eastAsia="SimSun" w:hAnsi="Arial" w:cs="Arial"/>
          <w:b/>
          <w:sz w:val="24"/>
          <w:szCs w:val="24"/>
          <w:lang w:eastAsia="zh-CN"/>
        </w:rPr>
        <w:t>April</w:t>
      </w:r>
      <w:r w:rsidR="00107BA1" w:rsidRPr="00F542A0">
        <w:rPr>
          <w:rFonts w:ascii="Arial" w:eastAsia="SimSun" w:hAnsi="Arial" w:cs="Arial"/>
          <w:b/>
          <w:sz w:val="24"/>
          <w:szCs w:val="24"/>
          <w:lang w:eastAsia="zh-CN"/>
        </w:rPr>
        <w:t>, 2025</w:t>
      </w:r>
      <w:r w:rsidR="004D7E41">
        <w:rPr>
          <w:rFonts w:cs="Arial"/>
          <w:b/>
          <w:sz w:val="24"/>
        </w:rPr>
        <w:br/>
      </w:r>
    </w:p>
    <w:p w14:paraId="6D01FBCB" w14:textId="5609F0B6"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w:t>
      </w:r>
      <w:r w:rsidR="003F09FC" w:rsidRPr="003F09FC">
        <w:rPr>
          <w:rFonts w:ascii="Arial" w:hAnsi="Arial" w:cs="Arial"/>
          <w:b/>
        </w:rPr>
        <w:t xml:space="preserve">on </w:t>
      </w:r>
      <w:r w:rsidR="0039505A">
        <w:rPr>
          <w:rFonts w:ascii="Arial" w:hAnsi="Arial" w:cs="Arial"/>
          <w:b/>
        </w:rPr>
        <w:t>BS FR1 t</w:t>
      </w:r>
      <w:r w:rsidR="003F09FC" w:rsidRPr="003F09FC">
        <w:rPr>
          <w:rFonts w:ascii="Arial" w:hAnsi="Arial" w:cs="Arial"/>
          <w:b/>
        </w:rPr>
        <w:t>ransmitter co-existence spurious emission requirements</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7C28A611"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B27143">
        <w:rPr>
          <w:rFonts w:ascii="Arial" w:hAnsi="Arial" w:cs="Arial"/>
          <w:b/>
        </w:rPr>
        <w:t>7</w:t>
      </w:r>
      <w:r>
        <w:rPr>
          <w:rFonts w:ascii="Arial" w:hAnsi="Arial" w:cs="Arial"/>
          <w:b/>
        </w:rPr>
        <w:t>.</w:t>
      </w:r>
      <w:r w:rsidR="00783E6C">
        <w:rPr>
          <w:rFonts w:ascii="Arial" w:hAnsi="Arial" w:cs="Arial"/>
          <w:b/>
        </w:rPr>
        <w:t>1</w:t>
      </w:r>
      <w:r w:rsidR="00364F08">
        <w:rPr>
          <w:rFonts w:ascii="Arial" w:hAnsi="Arial" w:cs="Arial"/>
          <w:b/>
        </w:rPr>
        <w:t>3</w:t>
      </w:r>
      <w:r>
        <w:rPr>
          <w:rFonts w:ascii="Arial" w:hAnsi="Arial" w:cs="Arial"/>
          <w:b/>
        </w:rPr>
        <w:t>.</w:t>
      </w:r>
      <w:r w:rsidR="00823205">
        <w:rPr>
          <w:rFonts w:ascii="Arial" w:hAnsi="Arial" w:cs="Arial"/>
          <w:b/>
        </w:rPr>
        <w:t>3.3</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6944BC48" w14:textId="38A2A129" w:rsidR="00B236B0" w:rsidRDefault="008F4FD0" w:rsidP="001E7ECC">
      <w:pPr>
        <w:spacing w:after="80"/>
        <w:jc w:val="both"/>
      </w:pPr>
      <w:r>
        <w:t>I</w:t>
      </w:r>
      <w:r w:rsidR="00B236B0">
        <w:t>t was agreed in [</w:t>
      </w:r>
      <w:r>
        <w:t>1</w:t>
      </w:r>
      <w:r w:rsidR="00B236B0">
        <w:t xml:space="preserve">] that RAN4 </w:t>
      </w:r>
      <w:r w:rsidR="003C67B3" w:rsidRPr="003C67B3">
        <w:rPr>
          <w:rFonts w:hint="eastAsia"/>
        </w:rPr>
        <w:t>Add the new objective of co-existence transmitter spurious emission limits according to the request from ETSI/TFES</w:t>
      </w:r>
      <w:r w:rsidR="003C67B3">
        <w:t xml:space="preserve"> to the ongoing Rel-19 NR BS RF requirement evolution work item</w:t>
      </w:r>
      <w:r w:rsidR="00FB46FB">
        <w:t xml:space="preserve">, with the following objectives. </w:t>
      </w:r>
    </w:p>
    <w:tbl>
      <w:tblPr>
        <w:tblStyle w:val="TableGrid"/>
        <w:tblW w:w="0" w:type="auto"/>
        <w:tblLook w:val="04A0" w:firstRow="1" w:lastRow="0" w:firstColumn="1" w:lastColumn="0" w:noHBand="0" w:noVBand="1"/>
      </w:tblPr>
      <w:tblGrid>
        <w:gridCol w:w="9622"/>
      </w:tblGrid>
      <w:tr w:rsidR="00FB46FB" w14:paraId="19B01F3F" w14:textId="77777777" w:rsidTr="00FB46FB">
        <w:tc>
          <w:tcPr>
            <w:tcW w:w="9622" w:type="dxa"/>
          </w:tcPr>
          <w:p w14:paraId="6AD57BAF" w14:textId="77777777" w:rsidR="00FB46FB" w:rsidRPr="00FB46FB" w:rsidRDefault="00FB46FB" w:rsidP="001E7ECC">
            <w:pPr>
              <w:numPr>
                <w:ilvl w:val="0"/>
                <w:numId w:val="17"/>
              </w:numPr>
              <w:spacing w:after="80"/>
              <w:ind w:firstLineChars="200" w:firstLine="400"/>
              <w:jc w:val="both"/>
            </w:pPr>
            <w:r w:rsidRPr="00FB46FB">
              <w:rPr>
                <w:bCs/>
              </w:rPr>
              <w:t>Evaluate co-existence transmitter spurious emission limits according to the request from ETSI/TFES</w:t>
            </w:r>
          </w:p>
          <w:p w14:paraId="701CBDF4" w14:textId="5FAF86A4" w:rsidR="00FB46FB" w:rsidRDefault="00FB46FB" w:rsidP="001E7ECC">
            <w:pPr>
              <w:numPr>
                <w:ilvl w:val="0"/>
                <w:numId w:val="17"/>
              </w:numPr>
              <w:spacing w:after="80"/>
              <w:ind w:firstLineChars="200" w:firstLine="400"/>
              <w:jc w:val="both"/>
            </w:pPr>
            <w:r w:rsidRPr="00FB46FB">
              <w:rPr>
                <w:bCs/>
              </w:rPr>
              <w:t>Improve transmitter co-existence spurious emission requirements if needed.</w:t>
            </w:r>
          </w:p>
        </w:tc>
      </w:tr>
    </w:tbl>
    <w:p w14:paraId="6563AE42" w14:textId="77777777" w:rsidR="001E7ECC" w:rsidRDefault="001E7ECC" w:rsidP="001E7ECC">
      <w:pPr>
        <w:spacing w:after="80"/>
        <w:jc w:val="both"/>
      </w:pPr>
    </w:p>
    <w:p w14:paraId="1C6C4FCB" w14:textId="32F48313" w:rsidR="006D12A7" w:rsidRPr="001E7ECC" w:rsidRDefault="00551F51" w:rsidP="001E7ECC">
      <w:pPr>
        <w:spacing w:after="80"/>
        <w:jc w:val="both"/>
      </w:pPr>
      <w:r>
        <w:t xml:space="preserve">In </w:t>
      </w:r>
      <w:r w:rsidR="008F4FD0">
        <w:t>[2], a WF was agreed on the preliminary views on how to study and assess the co-existnece Tx spurious limits. In this contribution, we share our views on the open items that were agreed in [2].</w:t>
      </w:r>
      <w:r w:rsidR="001E7ECC">
        <w:t xml:space="preserve"> </w:t>
      </w:r>
    </w:p>
    <w:p w14:paraId="3580BB47" w14:textId="1BE28E88" w:rsidR="002A5C1F" w:rsidRPr="002A5C1F" w:rsidRDefault="00993E9B" w:rsidP="002A5C1F">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p>
    <w:p w14:paraId="4EC6B8CD" w14:textId="5AA1CE41" w:rsidR="00B23324" w:rsidRDefault="002A5C1F" w:rsidP="002A5C1F">
      <w:pPr>
        <w:rPr>
          <w:lang w:eastAsia="ja-JP"/>
        </w:rPr>
      </w:pPr>
      <w:r>
        <w:rPr>
          <w:lang w:eastAsia="ja-JP"/>
        </w:rPr>
        <w:t xml:space="preserve">In [2] two options regarding the evaluation methodology adopted within RAN4 to derive the Tx spurious emission requirements were agreed as shown below. </w:t>
      </w:r>
    </w:p>
    <w:tbl>
      <w:tblPr>
        <w:tblStyle w:val="TableGrid"/>
        <w:tblW w:w="0" w:type="auto"/>
        <w:tblLook w:val="04A0" w:firstRow="1" w:lastRow="0" w:firstColumn="1" w:lastColumn="0" w:noHBand="0" w:noVBand="1"/>
      </w:tblPr>
      <w:tblGrid>
        <w:gridCol w:w="9622"/>
      </w:tblGrid>
      <w:tr w:rsidR="002A5C1F" w14:paraId="500BBF5D" w14:textId="77777777" w:rsidTr="002A5C1F">
        <w:tc>
          <w:tcPr>
            <w:tcW w:w="9622" w:type="dxa"/>
          </w:tcPr>
          <w:p w14:paraId="374EBF22" w14:textId="77777777" w:rsidR="002A5C1F" w:rsidRDefault="002A5C1F" w:rsidP="002A5C1F">
            <w:pPr>
              <w:pStyle w:val="ListParagraph"/>
              <w:numPr>
                <w:ilvl w:val="0"/>
                <w:numId w:val="11"/>
              </w:numPr>
              <w:overflowPunct/>
              <w:autoSpaceDE/>
              <w:autoSpaceDN/>
              <w:adjustRightInd/>
              <w:spacing w:after="120"/>
              <w:ind w:left="360"/>
              <w:textAlignment w:val="auto"/>
              <w:rPr>
                <w:rFonts w:eastAsia="SimSun"/>
                <w:color w:val="000000" w:themeColor="text1"/>
                <w:szCs w:val="24"/>
                <w:lang w:eastAsia="zh-CN"/>
              </w:rPr>
            </w:pPr>
            <w:r>
              <w:rPr>
                <w:rFonts w:eastAsia="SimSun"/>
                <w:color w:val="000000" w:themeColor="text1"/>
                <w:szCs w:val="24"/>
                <w:lang w:eastAsia="zh-CN"/>
              </w:rPr>
              <w:t xml:space="preserve">Consider MCL methodology, including AAS and non-AAS implementations. </w:t>
            </w:r>
          </w:p>
          <w:p w14:paraId="63075E8E" w14:textId="77777777" w:rsidR="002A5C1F" w:rsidRDefault="002A5C1F" w:rsidP="002A5C1F">
            <w:pPr>
              <w:pStyle w:val="ListParagraph"/>
              <w:numPr>
                <w:ilvl w:val="1"/>
                <w:numId w:val="11"/>
              </w:numPr>
              <w:overflowPunct/>
              <w:autoSpaceDE/>
              <w:autoSpaceDN/>
              <w:adjustRightInd/>
              <w:spacing w:after="120"/>
              <w:ind w:left="1080"/>
              <w:textAlignment w:val="auto"/>
              <w:rPr>
                <w:rFonts w:eastAsia="SimSun"/>
                <w:color w:val="000000" w:themeColor="text1"/>
                <w:szCs w:val="24"/>
                <w:lang w:eastAsia="zh-CN"/>
              </w:rPr>
            </w:pPr>
            <w:r>
              <w:rPr>
                <w:rFonts w:eastAsia="SimSun"/>
                <w:color w:val="000000" w:themeColor="text1"/>
                <w:szCs w:val="24"/>
                <w:lang w:eastAsia="zh-CN"/>
              </w:rPr>
              <w:t xml:space="preserve">TR 25.942 is used as reference for the methodology derivation. </w:t>
            </w:r>
          </w:p>
          <w:p w14:paraId="614FDE30" w14:textId="1B40D4D2" w:rsidR="002A5C1F" w:rsidRPr="002A5C1F" w:rsidRDefault="002A5C1F" w:rsidP="002A5C1F">
            <w:pPr>
              <w:pStyle w:val="ListParagraph"/>
              <w:numPr>
                <w:ilvl w:val="0"/>
                <w:numId w:val="11"/>
              </w:numPr>
              <w:overflowPunct/>
              <w:autoSpaceDE/>
              <w:autoSpaceDN/>
              <w:adjustRightInd/>
              <w:spacing w:after="120"/>
              <w:ind w:left="360"/>
              <w:textAlignment w:val="auto"/>
              <w:rPr>
                <w:rFonts w:eastAsia="SimSun"/>
                <w:color w:val="000000" w:themeColor="text1"/>
                <w:szCs w:val="24"/>
                <w:lang w:eastAsia="zh-CN"/>
              </w:rPr>
            </w:pPr>
            <w:r>
              <w:rPr>
                <w:rFonts w:eastAsia="SimSun"/>
                <w:color w:val="000000" w:themeColor="text1"/>
                <w:szCs w:val="24"/>
                <w:lang w:eastAsia="zh-CN"/>
              </w:rPr>
              <w:t xml:space="preserve">System level evaluations are not precluded. </w:t>
            </w:r>
            <w:r>
              <w:rPr>
                <w:color w:val="000000" w:themeColor="text1"/>
                <w:szCs w:val="24"/>
                <w:lang w:eastAsia="zh-CN"/>
              </w:rPr>
              <w:t xml:space="preserve"> </w:t>
            </w:r>
          </w:p>
        </w:tc>
      </w:tr>
    </w:tbl>
    <w:p w14:paraId="2426B248" w14:textId="77777777" w:rsidR="002A5C1F" w:rsidRDefault="002A5C1F" w:rsidP="002A5C1F">
      <w:pPr>
        <w:rPr>
          <w:b/>
          <w:bCs/>
          <w:lang w:eastAsia="ja-JP"/>
        </w:rPr>
      </w:pPr>
    </w:p>
    <w:p w14:paraId="62E085AA" w14:textId="77777777" w:rsidR="005C3420" w:rsidRPr="005C3420" w:rsidRDefault="008B353A" w:rsidP="002A5C1F">
      <w:pPr>
        <w:rPr>
          <w:lang w:eastAsia="ja-JP"/>
        </w:rPr>
      </w:pPr>
      <w:r>
        <w:rPr>
          <w:lang w:eastAsia="ja-JP"/>
        </w:rPr>
        <w:t>In our contribution, we will investigate the protection of UE receiver (</w:t>
      </w:r>
      <w:r w:rsidR="00A4195F">
        <w:rPr>
          <w:lang w:eastAsia="ja-JP"/>
        </w:rPr>
        <w:t xml:space="preserve">Downlink, </w:t>
      </w:r>
      <w:r>
        <w:rPr>
          <w:lang w:eastAsia="ja-JP"/>
        </w:rPr>
        <w:t>BS-to-UE</w:t>
      </w:r>
      <w:r w:rsidR="00F105A0">
        <w:rPr>
          <w:lang w:eastAsia="ja-JP"/>
        </w:rPr>
        <w:t xml:space="preserve">) </w:t>
      </w:r>
      <w:r w:rsidR="00A4195F">
        <w:rPr>
          <w:lang w:eastAsia="ja-JP"/>
        </w:rPr>
        <w:t xml:space="preserve">and protection of BS </w:t>
      </w:r>
      <w:r w:rsidR="00017136">
        <w:rPr>
          <w:lang w:eastAsia="ja-JP"/>
        </w:rPr>
        <w:t xml:space="preserve">receiver (Uplink, BS-to-BS). </w:t>
      </w:r>
      <w:r w:rsidR="00616EC2">
        <w:rPr>
          <w:lang w:eastAsia="ja-JP"/>
        </w:rPr>
        <w:t xml:space="preserve">In order to determine the proposed emission level, the following link budget following TR </w:t>
      </w:r>
      <w:r w:rsidR="00861C03">
        <w:rPr>
          <w:lang w:eastAsia="ja-JP"/>
        </w:rPr>
        <w:t xml:space="preserve">25.942 framework is adopted </w:t>
      </w:r>
    </w:p>
    <w:p w14:paraId="7BD17D8B" w14:textId="67612CF0" w:rsidR="0074501B" w:rsidRDefault="00000000" w:rsidP="002A5C1F">
      <w:pPr>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emissions</m:t>
              </m:r>
            </m:sub>
          </m:sSub>
          <m:r>
            <w:rPr>
              <w:rFonts w:ascii="Cambria Math" w:hAnsi="Cambria Math"/>
              <w:lang w:eastAsia="ja-JP"/>
            </w:rPr>
            <m:t xml:space="preserve"> </m:t>
          </m:r>
          <m:d>
            <m:dPr>
              <m:begChr m:val="["/>
              <m:endChr m:val="]"/>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dBm</m:t>
                  </m:r>
                </m:num>
                <m:den>
                  <m:r>
                    <w:rPr>
                      <w:rFonts w:ascii="Cambria Math" w:hAnsi="Cambria Math"/>
                      <w:lang w:eastAsia="ja-JP"/>
                    </w:rPr>
                    <m:t>MHz</m:t>
                  </m:r>
                </m:den>
              </m:f>
            </m:e>
          </m:d>
          <m:r>
            <w:rPr>
              <w:rFonts w:ascii="Cambria Math" w:hAnsi="Cambria Math"/>
              <w:lang w:eastAsia="ja-JP"/>
            </w:rPr>
            <m:t xml:space="preserve">=KT </m:t>
          </m:r>
          <m:d>
            <m:dPr>
              <m:begChr m:val="["/>
              <m:endChr m:val="]"/>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dBm</m:t>
                  </m:r>
                </m:num>
                <m:den>
                  <m:r>
                    <w:rPr>
                      <w:rFonts w:ascii="Cambria Math" w:hAnsi="Cambria Math"/>
                      <w:lang w:eastAsia="ja-JP"/>
                    </w:rPr>
                    <m:t>Hz</m:t>
                  </m:r>
                </m:den>
              </m:f>
            </m:e>
          </m:d>
          <m:r>
            <w:rPr>
              <w:rFonts w:ascii="Cambria Math" w:hAnsi="Cambria Math"/>
              <w:lang w:eastAsia="ja-JP"/>
            </w:rPr>
            <m:t>+B</m:t>
          </m:r>
          <m:d>
            <m:dPr>
              <m:begChr m:val="["/>
              <m:endChr m:val="]"/>
              <m:ctrlPr>
                <w:rPr>
                  <w:rFonts w:ascii="Cambria Math" w:hAnsi="Cambria Math"/>
                  <w:i/>
                  <w:lang w:eastAsia="ja-JP"/>
                </w:rPr>
              </m:ctrlPr>
            </m:dPr>
            <m:e>
              <m:r>
                <w:rPr>
                  <w:rFonts w:ascii="Cambria Math" w:hAnsi="Cambria Math"/>
                  <w:lang w:eastAsia="ja-JP"/>
                </w:rPr>
                <m:t>MHz</m:t>
              </m:r>
            </m:e>
          </m:d>
          <m:r>
            <w:rPr>
              <w:rFonts w:ascii="Cambria Math" w:hAnsi="Cambria Math"/>
              <w:lang w:eastAsia="ja-JP"/>
            </w:rPr>
            <m:t xml:space="preserve">+NF </m:t>
          </m:r>
          <m:d>
            <m:dPr>
              <m:begChr m:val="["/>
              <m:endChr m:val="]"/>
              <m:ctrlPr>
                <w:rPr>
                  <w:rFonts w:ascii="Cambria Math" w:hAnsi="Cambria Math"/>
                  <w:i/>
                  <w:lang w:eastAsia="ja-JP"/>
                </w:rPr>
              </m:ctrlPr>
            </m:dPr>
            <m:e>
              <m:r>
                <w:rPr>
                  <w:rFonts w:ascii="Cambria Math" w:hAnsi="Cambria Math"/>
                  <w:lang w:eastAsia="ja-JP"/>
                </w:rPr>
                <m:t>dB</m:t>
              </m:r>
            </m:e>
          </m:d>
          <m:r>
            <w:rPr>
              <w:rFonts w:ascii="Cambria Math" w:hAnsi="Cambria Math"/>
              <w:lang w:eastAsia="ja-JP"/>
            </w:rPr>
            <m:t>+L</m:t>
          </m:r>
          <m:d>
            <m:dPr>
              <m:begChr m:val="["/>
              <m:endChr m:val="]"/>
              <m:ctrlPr>
                <w:rPr>
                  <w:rFonts w:ascii="Cambria Math" w:hAnsi="Cambria Math"/>
                  <w:i/>
                  <w:lang w:eastAsia="ja-JP"/>
                </w:rPr>
              </m:ctrlPr>
            </m:dPr>
            <m:e>
              <m:r>
                <w:rPr>
                  <w:rFonts w:ascii="Cambria Math" w:hAnsi="Cambria Math"/>
                  <w:lang w:eastAsia="ja-JP"/>
                </w:rPr>
                <m:t>dB</m:t>
              </m:r>
            </m:e>
          </m:d>
          <m:r>
            <w:rPr>
              <w:rFonts w:ascii="Cambria Math" w:hAnsi="Cambria Math"/>
              <w:lang w:eastAsia="ja-JP"/>
            </w:rPr>
            <m:t>-M[dB]</m:t>
          </m:r>
        </m:oMath>
      </m:oMathPara>
    </w:p>
    <w:p w14:paraId="0CC11825" w14:textId="5EF2CC3F" w:rsidR="00861C03" w:rsidRDefault="005C3420" w:rsidP="002A5C1F">
      <w:pPr>
        <w:rPr>
          <w:lang w:eastAsia="ja-JP"/>
        </w:rPr>
      </w:pPr>
      <w:r>
        <w:rPr>
          <w:lang w:eastAsia="ja-JP"/>
        </w:rPr>
        <w:t xml:space="preserve">Where the below parameters </w:t>
      </w:r>
      <w:r w:rsidR="00074E08">
        <w:rPr>
          <w:lang w:eastAsia="ja-JP"/>
        </w:rPr>
        <w:t>are assumed in this contribution</w:t>
      </w:r>
    </w:p>
    <w:p w14:paraId="2078C664" w14:textId="213C0B02" w:rsidR="005C3420" w:rsidRPr="00FA2EDF" w:rsidRDefault="00074E08" w:rsidP="00C80F7F">
      <w:pPr>
        <w:pStyle w:val="ListParagraph"/>
        <w:numPr>
          <w:ilvl w:val="0"/>
          <w:numId w:val="20"/>
        </w:numPr>
        <w:spacing w:after="0"/>
        <w:rPr>
          <w:lang w:eastAsia="ja-JP"/>
        </w:rPr>
      </w:pPr>
      <m:oMath>
        <m:r>
          <w:rPr>
            <w:rFonts w:ascii="Cambria Math" w:hAnsi="Cambria Math"/>
            <w:lang w:eastAsia="ja-JP"/>
          </w:rPr>
          <m:t>KT= -174</m:t>
        </m:r>
        <m:f>
          <m:fPr>
            <m:ctrlPr>
              <w:rPr>
                <w:rFonts w:ascii="Cambria Math" w:hAnsi="Cambria Math"/>
                <w:i/>
                <w:lang w:eastAsia="ja-JP"/>
              </w:rPr>
            </m:ctrlPr>
          </m:fPr>
          <m:num>
            <m:r>
              <w:rPr>
                <w:rFonts w:ascii="Cambria Math" w:hAnsi="Cambria Math"/>
                <w:lang w:eastAsia="ja-JP"/>
              </w:rPr>
              <m:t>dBm</m:t>
            </m:r>
          </m:num>
          <m:den>
            <m:r>
              <w:rPr>
                <w:rFonts w:ascii="Cambria Math" w:hAnsi="Cambria Math"/>
                <w:lang w:eastAsia="ja-JP"/>
              </w:rPr>
              <m:t>HZ</m:t>
            </m:r>
          </m:den>
        </m:f>
      </m:oMath>
      <w:r w:rsidR="00C80F7F">
        <w:rPr>
          <w:lang w:eastAsia="ja-JP"/>
        </w:rPr>
        <w:t>.</w:t>
      </w:r>
    </w:p>
    <w:p w14:paraId="2969095B" w14:textId="3FAE6A97" w:rsidR="00FA2EDF" w:rsidRPr="00FA2EDF" w:rsidRDefault="00FA2EDF" w:rsidP="00C80F7F">
      <w:pPr>
        <w:pStyle w:val="ListParagraph"/>
        <w:numPr>
          <w:ilvl w:val="0"/>
          <w:numId w:val="20"/>
        </w:numPr>
        <w:spacing w:after="0"/>
        <w:rPr>
          <w:lang w:eastAsia="ja-JP"/>
        </w:rPr>
      </w:pPr>
      <m:oMath>
        <m:r>
          <w:rPr>
            <w:rFonts w:ascii="Cambria Math" w:hAnsi="Cambria Math"/>
            <w:lang w:eastAsia="ja-JP"/>
          </w:rPr>
          <m:t>B=1 MHz</m:t>
        </m:r>
      </m:oMath>
      <w:r w:rsidR="00C80F7F">
        <w:rPr>
          <w:lang w:eastAsia="ja-JP"/>
        </w:rPr>
        <w:t>.</w:t>
      </w:r>
    </w:p>
    <w:p w14:paraId="4F682E1E" w14:textId="7E439210" w:rsidR="00FA2EDF" w:rsidRDefault="00C80F7F" w:rsidP="00C80F7F">
      <w:pPr>
        <w:pStyle w:val="ListParagraph"/>
        <w:numPr>
          <w:ilvl w:val="0"/>
          <w:numId w:val="20"/>
        </w:numPr>
        <w:spacing w:after="0"/>
        <w:rPr>
          <w:lang w:eastAsia="ja-JP"/>
        </w:rPr>
      </w:pPr>
      <w:r>
        <w:rPr>
          <w:lang w:eastAsia="ja-JP"/>
        </w:rPr>
        <w:t>Noise figure</w:t>
      </w:r>
      <w:r w:rsidR="0073598A">
        <w:rPr>
          <w:lang w:eastAsia="ja-JP"/>
        </w:rPr>
        <w:t xml:space="preserve"> for UE or BS depending on the scenario. </w:t>
      </w:r>
    </w:p>
    <w:p w14:paraId="3AD59E15" w14:textId="2C7B6CE9" w:rsidR="00C80F7F" w:rsidRDefault="00BF7788" w:rsidP="00C80F7F">
      <w:pPr>
        <w:pStyle w:val="ListParagraph"/>
        <w:numPr>
          <w:ilvl w:val="0"/>
          <w:numId w:val="20"/>
        </w:numPr>
        <w:spacing w:after="0"/>
        <w:rPr>
          <w:lang w:eastAsia="ja-JP"/>
        </w:rPr>
      </w:pPr>
      <w:r>
        <w:t xml:space="preserve">desensitisation assumption: </w:t>
      </w:r>
      <w:r w:rsidR="006A11D1">
        <w:t>3 dB</w:t>
      </w:r>
      <w:r>
        <w:t xml:space="preserve"> and 0.8 dB for protection of UE receiver and BS receiver, respectively.</w:t>
      </w:r>
    </w:p>
    <w:p w14:paraId="22D5BC82" w14:textId="7AD50A58" w:rsidR="00FC1DDF" w:rsidRPr="00FA2EDF" w:rsidRDefault="00FC1DDF" w:rsidP="00C80F7F">
      <w:pPr>
        <w:pStyle w:val="ListParagraph"/>
        <w:numPr>
          <w:ilvl w:val="0"/>
          <w:numId w:val="20"/>
        </w:numPr>
        <w:spacing w:after="0"/>
        <w:rPr>
          <w:lang w:eastAsia="ja-JP"/>
        </w:rPr>
      </w:pPr>
      <m:oMath>
        <m:r>
          <w:rPr>
            <w:rFonts w:ascii="Cambria Math" w:hAnsi="Cambria Math"/>
            <w:lang w:eastAsia="ja-JP"/>
          </w:rPr>
          <m:t>L</m:t>
        </m:r>
      </m:oMath>
      <w:r>
        <w:rPr>
          <w:lang w:eastAsia="ja-JP"/>
        </w:rPr>
        <w:t xml:space="preserve"> is the coupling loss between Tx and Rx, </w:t>
      </w:r>
      <w:r w:rsidR="001A4B0F">
        <w:rPr>
          <w:lang w:eastAsia="ja-JP"/>
        </w:rPr>
        <w:t>which will be evaluated depending on the scenario.</w:t>
      </w:r>
    </w:p>
    <w:p w14:paraId="77811C5C" w14:textId="19FC39BE" w:rsidR="000C1623" w:rsidRDefault="00E0097C" w:rsidP="000C1623">
      <w:pPr>
        <w:pStyle w:val="Heading2"/>
      </w:pPr>
      <w:r>
        <w:t>2.1 Protection of UE receiver (Downlink, BS-to-UE)</w:t>
      </w:r>
    </w:p>
    <w:p w14:paraId="26A7173C" w14:textId="41915E2D" w:rsidR="008B7A91" w:rsidRDefault="00DB4A39" w:rsidP="00DB4A39">
      <w:pPr>
        <w:rPr>
          <w:lang w:eastAsia="ja-JP"/>
        </w:rPr>
      </w:pPr>
      <w:r>
        <w:t xml:space="preserve">This scenario considers the </w:t>
      </w:r>
      <w:r w:rsidR="00A844A0">
        <w:t xml:space="preserve">downlink </w:t>
      </w:r>
      <w:r w:rsidR="00F816EA">
        <w:t>protection of</w:t>
      </w:r>
      <w:r w:rsidR="00A844A0">
        <w:t xml:space="preserve"> </w:t>
      </w:r>
      <w:r w:rsidR="00FC1DDF">
        <w:t>other</w:t>
      </w:r>
      <w:r w:rsidR="00A844A0">
        <w:t xml:space="preserve"> operator</w:t>
      </w:r>
      <w:r w:rsidR="00FC1DDF">
        <w:t xml:space="preserve">s in the same geographical area. </w:t>
      </w:r>
      <w:r w:rsidR="00720564">
        <w:t xml:space="preserve">Following TR </w:t>
      </w:r>
      <w:r w:rsidR="00414994">
        <w:t xml:space="preserve">25.942, we consider minimum distance between aggressor BS and victim UE to be equal 5m. </w:t>
      </w:r>
      <w:r w:rsidR="00A75B26">
        <w:t>Assuming operation at n104 (</w:t>
      </w:r>
      <w:r w:rsidR="00E161A7">
        <w:t>operational frequency</w:t>
      </w:r>
      <w:r w:rsidR="00A75B26">
        <w:t xml:space="preserve"> = 6425 MHz), the FSPL at 5m equals </w:t>
      </w:r>
      <w:r w:rsidR="00CD4AE7">
        <w:t>62.5 d</w:t>
      </w:r>
      <w:r w:rsidR="00987777">
        <w:t xml:space="preserve">B. </w:t>
      </w:r>
      <w:r w:rsidR="00026CE8">
        <w:t xml:space="preserve">Assuming UE noise figure to be either as </w:t>
      </w:r>
      <w:r w:rsidR="009F1859">
        <w:t>[</w:t>
      </w:r>
      <w:r w:rsidR="00026CE8">
        <w:t>9 dB</w:t>
      </w:r>
      <w:r w:rsidR="009F1859">
        <w:t xml:space="preserve"> – 13 dB]</w:t>
      </w:r>
      <w:r w:rsidR="00026CE8">
        <w:t xml:space="preserve"> (agreed for n79 in RAN4, see </w:t>
      </w:r>
      <w:r w:rsidR="000E12A5" w:rsidRPr="000E12A5">
        <w:t>R4-2410576</w:t>
      </w:r>
      <w:r w:rsidR="009F1859">
        <w:t xml:space="preserve"> or </w:t>
      </w:r>
      <w:r w:rsidR="000E12A5">
        <w:t xml:space="preserve">agreed for 7.125 – 8.4 GHz study item in RAN4, see </w:t>
      </w:r>
      <w:r w:rsidR="003B5241" w:rsidRPr="003B5241">
        <w:t>R4-2414302</w:t>
      </w:r>
      <w:r w:rsidR="003B5241">
        <w:t>)</w:t>
      </w:r>
      <w:r w:rsidR="00042EEC">
        <w:t xml:space="preserve"> and 3 dB desensitisation</w:t>
      </w:r>
      <w:r w:rsidR="003B5241">
        <w:t xml:space="preserve">, the evaluated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emissions</m:t>
            </m:r>
          </m:sub>
        </m:sSub>
        <m:r>
          <w:rPr>
            <w:rFonts w:ascii="Cambria Math" w:hAnsi="Cambria Math"/>
            <w:lang w:eastAsia="ja-JP"/>
          </w:rPr>
          <m:t xml:space="preserve"> </m:t>
        </m:r>
        <m:d>
          <m:dPr>
            <m:begChr m:val="["/>
            <m:endChr m:val="]"/>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dBm</m:t>
                </m:r>
              </m:num>
              <m:den>
                <m:r>
                  <w:rPr>
                    <w:rFonts w:ascii="Cambria Math" w:hAnsi="Cambria Math"/>
                    <w:lang w:eastAsia="ja-JP"/>
                  </w:rPr>
                  <m:t>MHz</m:t>
                </m:r>
              </m:den>
            </m:f>
          </m:e>
        </m:d>
        <m:r>
          <w:rPr>
            <w:rFonts w:ascii="Cambria Math" w:hAnsi="Cambria Math"/>
            <w:lang w:eastAsia="ja-JP"/>
          </w:rPr>
          <m:t xml:space="preserve">= </m:t>
        </m:r>
      </m:oMath>
      <w:r w:rsidR="0087231E">
        <w:rPr>
          <w:lang w:eastAsia="ja-JP"/>
        </w:rPr>
        <w:t>[-42.5, -38.5] dB</w:t>
      </w:r>
      <w:r w:rsidR="00E255ED">
        <w:rPr>
          <w:lang w:eastAsia="ja-JP"/>
        </w:rPr>
        <w:t xml:space="preserve">. Compared to legacy emission </w:t>
      </w:r>
      <w:r w:rsidR="00E255ED">
        <w:rPr>
          <w:lang w:eastAsia="ja-JP"/>
        </w:rPr>
        <w:lastRenderedPageBreak/>
        <w:t>requirements of -</w:t>
      </w:r>
      <w:r w:rsidR="001D15E4">
        <w:rPr>
          <w:lang w:eastAsia="ja-JP"/>
        </w:rPr>
        <w:t>52 dBm/MHz</w:t>
      </w:r>
      <w:r w:rsidR="00072127">
        <w:rPr>
          <w:lang w:eastAsia="ja-JP"/>
        </w:rPr>
        <w:t>, only by considering relevant FSPL and noise figure values for upper FR1 bands (i.e., n104), one can observe a relaxation of [</w:t>
      </w:r>
      <w:r w:rsidR="008B7A91">
        <w:rPr>
          <w:lang w:eastAsia="ja-JP"/>
        </w:rPr>
        <w:t xml:space="preserve">9.5 dB, 13.5 dB]. </w:t>
      </w:r>
    </w:p>
    <w:p w14:paraId="1DB0A4D9" w14:textId="4AAF6D60" w:rsidR="00DB4A39" w:rsidRDefault="008B7A91" w:rsidP="00DB4A39">
      <w:pPr>
        <w:rPr>
          <w:b/>
          <w:bCs/>
          <w:lang w:eastAsia="ja-JP"/>
        </w:rPr>
      </w:pPr>
      <w:r w:rsidRPr="006A1622">
        <w:rPr>
          <w:b/>
          <w:bCs/>
          <w:u w:val="single"/>
          <w:lang w:eastAsia="ja-JP"/>
        </w:rPr>
        <w:t>Observation 1</w:t>
      </w:r>
      <w:r w:rsidRPr="006A1622">
        <w:rPr>
          <w:b/>
          <w:bCs/>
          <w:lang w:eastAsia="ja-JP"/>
        </w:rPr>
        <w:t xml:space="preserve">: For protection UE receiver, only by considering relevant FSPL and noise figure values for upper FR1 bands (i.e., n104), </w:t>
      </w:r>
      <w:r w:rsidR="006A1622" w:rsidRPr="006A1622">
        <w:rPr>
          <w:b/>
          <w:bCs/>
          <w:lang w:eastAsia="ja-JP"/>
        </w:rPr>
        <w:t xml:space="preserve">relaxation of [9.5 dB, 13.5 dB] could be realized depending on the underlying assumptions. </w:t>
      </w:r>
      <w:r w:rsidR="00072127" w:rsidRPr="006A1622">
        <w:rPr>
          <w:b/>
          <w:bCs/>
          <w:lang w:eastAsia="ja-JP"/>
        </w:rPr>
        <w:t xml:space="preserve"> </w:t>
      </w:r>
    </w:p>
    <w:p w14:paraId="1E498A40" w14:textId="326135ED" w:rsidR="00ED5249" w:rsidRDefault="00ED5249" w:rsidP="00DB4A39">
      <w:pPr>
        <w:rPr>
          <w:lang w:eastAsia="ja-JP"/>
        </w:rPr>
      </w:pPr>
      <w:r>
        <w:rPr>
          <w:lang w:eastAsia="ja-JP"/>
        </w:rPr>
        <w:t>If one would like to consider a less conservative value of the coupling loss between BS and UE, one can resort to system level modelling. However, assuming 100% grid shift</w:t>
      </w:r>
      <w:r w:rsidR="00BC15E8">
        <w:rPr>
          <w:lang w:eastAsia="ja-JP"/>
        </w:rPr>
        <w:t xml:space="preserve">, propagation model of TR 38.901, and ISD of 500m will lead to even more relaxed requirements, since the coupling loss values will be </w:t>
      </w:r>
      <w:r w:rsidR="00F8610F">
        <w:rPr>
          <w:lang w:eastAsia="ja-JP"/>
        </w:rPr>
        <w:t xml:space="preserve">much higher compared to the 5m conservative assumption that was adopted in TR 25.942. </w:t>
      </w:r>
    </w:p>
    <w:p w14:paraId="07A247C0" w14:textId="6AEA20C5" w:rsidR="00F8610F" w:rsidRDefault="00F8610F" w:rsidP="00DB4A39">
      <w:pPr>
        <w:rPr>
          <w:b/>
          <w:bCs/>
          <w:lang w:eastAsia="ja-JP"/>
        </w:rPr>
      </w:pPr>
      <w:r w:rsidRPr="00C42AC1">
        <w:rPr>
          <w:b/>
          <w:bCs/>
          <w:u w:val="single"/>
          <w:lang w:eastAsia="ja-JP"/>
        </w:rPr>
        <w:t>Observation 2</w:t>
      </w:r>
      <w:r w:rsidRPr="00C42AC1">
        <w:rPr>
          <w:b/>
          <w:bCs/>
          <w:lang w:eastAsia="ja-JP"/>
        </w:rPr>
        <w:t xml:space="preserve">: </w:t>
      </w:r>
      <w:r w:rsidR="00F15E3A" w:rsidRPr="00C42AC1">
        <w:rPr>
          <w:b/>
          <w:bCs/>
          <w:lang w:eastAsia="ja-JP"/>
        </w:rPr>
        <w:t xml:space="preserve">With system level assumptions such as 100% grid shift, 38.901 propagation model and ISD = 500m, </w:t>
      </w:r>
      <w:r w:rsidR="00693510" w:rsidRPr="00C42AC1">
        <w:rPr>
          <w:b/>
          <w:bCs/>
          <w:lang w:eastAsia="ja-JP"/>
        </w:rPr>
        <w:t xml:space="preserve">conservative </w:t>
      </w:r>
      <w:r w:rsidR="00C42AC1" w:rsidRPr="00C42AC1">
        <w:rPr>
          <w:b/>
          <w:bCs/>
          <w:lang w:eastAsia="ja-JP"/>
        </w:rPr>
        <w:t xml:space="preserve">assumptions to define emission requirements </w:t>
      </w:r>
      <w:r w:rsidR="00693510" w:rsidRPr="00C42AC1">
        <w:rPr>
          <w:b/>
          <w:bCs/>
          <w:lang w:eastAsia="ja-JP"/>
        </w:rPr>
        <w:t xml:space="preserve">that were considered TR 25.942 would not be applicable anymore. </w:t>
      </w:r>
    </w:p>
    <w:p w14:paraId="19A2E37C" w14:textId="5CC11DA2" w:rsidR="00013F0C" w:rsidRDefault="00C42AC1" w:rsidP="00DB4A39">
      <w:pPr>
        <w:rPr>
          <w:lang w:eastAsia="ja-JP"/>
        </w:rPr>
      </w:pPr>
      <w:r>
        <w:rPr>
          <w:lang w:eastAsia="ja-JP"/>
        </w:rPr>
        <w:t xml:space="preserve">In order </w:t>
      </w:r>
      <w:r w:rsidR="00ED1735">
        <w:rPr>
          <w:lang w:eastAsia="ja-JP"/>
        </w:rPr>
        <w:tab/>
        <w:t xml:space="preserve">to account for the impact of AAS in the link budget calculation, </w:t>
      </w:r>
      <w:r w:rsidR="005D3B1B">
        <w:rPr>
          <w:lang w:eastAsia="ja-JP"/>
        </w:rPr>
        <w:t xml:space="preserve">a similar methodology as presented in </w:t>
      </w:r>
      <w:r w:rsidR="00C67965">
        <w:rPr>
          <w:lang w:eastAsia="ja-JP"/>
        </w:rPr>
        <w:t xml:space="preserve">Section 2.2.1 in </w:t>
      </w:r>
      <w:r w:rsidR="005D3B1B">
        <w:rPr>
          <w:lang w:eastAsia="ja-JP"/>
        </w:rPr>
        <w:t>[3]</w:t>
      </w:r>
      <w:r w:rsidR="00C67965">
        <w:rPr>
          <w:lang w:eastAsia="ja-JP"/>
        </w:rPr>
        <w:t xml:space="preserve"> could be adopted, where RAN4 would agree on </w:t>
      </w:r>
      <w:r w:rsidR="00894E32">
        <w:rPr>
          <w:lang w:eastAsia="ja-JP"/>
        </w:rPr>
        <w:t xml:space="preserve">vertical and azimuthal antenna discrimination values based on the subarray pattern in the OOB domain. Such gain values would be plugged into the link budget calculation to derive the required emission requirement. </w:t>
      </w:r>
      <w:r w:rsidR="00013F0C">
        <w:rPr>
          <w:lang w:eastAsia="ja-JP"/>
        </w:rPr>
        <w:t xml:space="preserve">For example, </w:t>
      </w:r>
      <w:r w:rsidR="002C6CEB">
        <w:rPr>
          <w:lang w:eastAsia="ja-JP"/>
        </w:rPr>
        <w:t xml:space="preserve">Figure 1 below shows the radiation pattern of an AAS BS </w:t>
      </w:r>
      <w:r w:rsidR="00E906BC">
        <w:rPr>
          <w:lang w:eastAsia="ja-JP"/>
        </w:rPr>
        <w:t>(</w:t>
      </w:r>
      <m:oMath>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subtilt</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3</m:t>
            </m:r>
          </m:e>
          <m:sup>
            <m:r>
              <w:rPr>
                <w:rFonts w:ascii="Cambria Math" w:hAnsi="Cambria Math"/>
                <w:lang w:eastAsia="ja-JP"/>
              </w:rPr>
              <m:t>o</m:t>
            </m:r>
          </m:sup>
        </m:sSup>
        <m:r>
          <w:rPr>
            <w:rFonts w:ascii="Cambria Math" w:hAnsi="Cambria Math"/>
            <w:lang w:eastAsia="ja-JP"/>
          </w:rPr>
          <m:t>)</m:t>
        </m:r>
      </m:oMath>
      <w:r w:rsidR="008D6813">
        <w:rPr>
          <w:lang w:eastAsia="ja-JP"/>
        </w:rPr>
        <w:t xml:space="preserve"> </w:t>
      </w:r>
      <w:r w:rsidR="00D5762E">
        <w:rPr>
          <w:lang w:eastAsia="ja-JP"/>
        </w:rPr>
        <w:t xml:space="preserve">in the OOB domain assuming that the BF gain diminishes and only the subarray and element gain is residual in the OOB domain. </w:t>
      </w:r>
      <w:r w:rsidR="00B04743">
        <w:rPr>
          <w:lang w:eastAsia="ja-JP"/>
        </w:rPr>
        <w:t xml:space="preserve">Offsets for the vertical and azimuthal planes could be decided and plugged into the above link budget analysis to derive the requirements with AAS impacts considered. </w:t>
      </w:r>
    </w:p>
    <w:p w14:paraId="36E6A70A" w14:textId="77777777" w:rsidR="00013F0C" w:rsidRDefault="00013F0C" w:rsidP="00013F0C">
      <w:pPr>
        <w:keepNext/>
        <w:jc w:val="center"/>
      </w:pPr>
      <w:r w:rsidRPr="00013F0C">
        <w:rPr>
          <w:noProof/>
          <w:lang w:eastAsia="ja-JP"/>
        </w:rPr>
        <w:drawing>
          <wp:inline distT="0" distB="0" distL="0" distR="0" wp14:anchorId="6A67A06E" wp14:editId="65E64E83">
            <wp:extent cx="5497049" cy="2617262"/>
            <wp:effectExtent l="19050" t="19050" r="27940" b="12065"/>
            <wp:docPr id="796682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02706" cy="2619955"/>
                    </a:xfrm>
                    <a:prstGeom prst="rect">
                      <a:avLst/>
                    </a:prstGeom>
                    <a:noFill/>
                    <a:ln>
                      <a:solidFill>
                        <a:schemeClr val="tx1"/>
                      </a:solidFill>
                    </a:ln>
                  </pic:spPr>
                </pic:pic>
              </a:graphicData>
            </a:graphic>
          </wp:inline>
        </w:drawing>
      </w:r>
    </w:p>
    <w:p w14:paraId="599DC9DE" w14:textId="139D3AA6" w:rsidR="00013F0C" w:rsidRDefault="00013F0C" w:rsidP="00013F0C">
      <w:pPr>
        <w:pStyle w:val="Caption"/>
        <w:jc w:val="center"/>
        <w:rPr>
          <w:lang w:eastAsia="ja-JP"/>
        </w:rPr>
      </w:pPr>
      <w:r>
        <w:t xml:space="preserve">Figure </w:t>
      </w:r>
      <w:r>
        <w:fldChar w:fldCharType="begin"/>
      </w:r>
      <w:r>
        <w:instrText xml:space="preserve"> SEQ Figure \* ARABIC </w:instrText>
      </w:r>
      <w:r>
        <w:fldChar w:fldCharType="separate"/>
      </w:r>
      <w:r w:rsidR="007F5C3A">
        <w:rPr>
          <w:noProof/>
        </w:rPr>
        <w:t>1</w:t>
      </w:r>
      <w:r>
        <w:fldChar w:fldCharType="end"/>
      </w:r>
      <w:r>
        <w:t xml:space="preserve"> Subarray gains assuming three elements per subarray in the vertical plane</w:t>
      </w:r>
    </w:p>
    <w:p w14:paraId="33E41615" w14:textId="54E395C2" w:rsidR="00894E32" w:rsidRPr="00B04743" w:rsidRDefault="00894E32" w:rsidP="00DB4A39">
      <w:pPr>
        <w:rPr>
          <w:b/>
          <w:bCs/>
          <w:lang w:val="en-US"/>
        </w:rPr>
      </w:pPr>
      <w:r w:rsidRPr="00B04743">
        <w:rPr>
          <w:b/>
          <w:bCs/>
          <w:u w:val="single"/>
          <w:lang w:eastAsia="ja-JP"/>
        </w:rPr>
        <w:t>Proposal 1</w:t>
      </w:r>
      <w:r w:rsidRPr="00B04743">
        <w:rPr>
          <w:b/>
          <w:bCs/>
          <w:lang w:eastAsia="ja-JP"/>
        </w:rPr>
        <w:t>:</w:t>
      </w:r>
      <w:r w:rsidR="00E3243D" w:rsidRPr="00B04743">
        <w:rPr>
          <w:b/>
          <w:bCs/>
          <w:lang w:eastAsia="ja-JP"/>
        </w:rPr>
        <w:t xml:space="preserve"> To account for AAS impacts, RAN4 to account for vertical and azimuthal </w:t>
      </w:r>
      <w:r w:rsidR="00B04743" w:rsidRPr="00B04743">
        <w:rPr>
          <w:b/>
          <w:bCs/>
          <w:lang w:eastAsia="ja-JP"/>
        </w:rPr>
        <w:t>offsets of the subarray antenna gain in the link budget analysis</w:t>
      </w:r>
      <w:r w:rsidR="00E3243D" w:rsidRPr="00B04743">
        <w:rPr>
          <w:b/>
          <w:bCs/>
          <w:lang w:eastAsia="ja-JP"/>
        </w:rPr>
        <w:t xml:space="preserve"> </w:t>
      </w:r>
      <w:r w:rsidR="00B04743" w:rsidRPr="00B04743">
        <w:rPr>
          <w:b/>
          <w:bCs/>
          <w:lang w:eastAsia="ja-JP"/>
        </w:rPr>
        <w:t xml:space="preserve">to derive the emission requirements. </w:t>
      </w:r>
    </w:p>
    <w:p w14:paraId="511BAE15" w14:textId="45C7F9ED" w:rsidR="00E0097C" w:rsidRDefault="00E0097C">
      <w:pPr>
        <w:pStyle w:val="Heading2"/>
      </w:pPr>
      <w:r>
        <w:t>2.2 Protection of BS receiver (Uplink, BS-to-BS)</w:t>
      </w:r>
    </w:p>
    <w:p w14:paraId="276CA6B2" w14:textId="1F8F2BD8" w:rsidR="003367A1" w:rsidRDefault="008972EC" w:rsidP="008972EC">
      <w:pPr>
        <w:rPr>
          <w:lang w:val="en-US"/>
        </w:rPr>
      </w:pPr>
      <w:r>
        <w:t xml:space="preserve">This scenario considers the uplink protection of other operators in the same geographical area. </w:t>
      </w:r>
      <w:r w:rsidR="003048C0">
        <w:t xml:space="preserve">Similar to the Section 2.1, the evaluation of the protection emission requirements </w:t>
      </w:r>
      <w:r w:rsidR="00AB099D">
        <w:t>mainly</w:t>
      </w:r>
      <w:r w:rsidR="003048C0">
        <w:rPr>
          <w:lang w:val="en-US"/>
        </w:rPr>
        <w:t xml:space="preserve"> boils down to the correc</w:t>
      </w:r>
      <w:r w:rsidR="00AB099D">
        <w:rPr>
          <w:lang w:val="en-US"/>
        </w:rPr>
        <w:t xml:space="preserve">t evaluation of the BS2BS coupling loss. Based purely on geographical deployment, Figure 2 shows the BS-to-BS coupling loss assuming UMa scenario with </w:t>
      </w:r>
      <w:r w:rsidR="008B450F">
        <w:rPr>
          <w:lang w:val="en-US"/>
        </w:rPr>
        <w:t>UMa 38.901 propagation model,</w:t>
      </w:r>
      <w:r w:rsidR="001B460F">
        <w:rPr>
          <w:lang w:val="en-US"/>
        </w:rPr>
        <w:t xml:space="preserve"> BS antenna height = 25m, </w:t>
      </w:r>
      <w:r w:rsidR="00AB099D">
        <w:rPr>
          <w:lang w:val="en-US"/>
        </w:rPr>
        <w:t>ISD=500m</w:t>
      </w:r>
      <w:r w:rsidR="002C42C0">
        <w:rPr>
          <w:lang w:val="en-US"/>
        </w:rPr>
        <w:t>, and 1</w:t>
      </w:r>
      <w:r w:rsidR="003367A1">
        <w:rPr>
          <w:lang w:val="en-US"/>
        </w:rPr>
        <w:t xml:space="preserve">00% grid shift between operator A and operator B. </w:t>
      </w:r>
      <w:r w:rsidR="008B450F">
        <w:rPr>
          <w:lang w:val="en-US"/>
        </w:rPr>
        <w:t>Note that in TR 25.942, worst case assumption of 288m was assumed to derive the inter-BS pathloss</w:t>
      </w:r>
      <w:r w:rsidR="002C42C0">
        <w:rPr>
          <w:lang w:val="en-US"/>
        </w:rPr>
        <w:t xml:space="preserve">. Following TR 25.942 methodology, FSPL pathloss at 6425 GHz would be equal </w:t>
      </w:r>
      <w:r w:rsidR="007F5C3A">
        <w:rPr>
          <w:lang w:val="en-US"/>
        </w:rPr>
        <w:t xml:space="preserve">to 97.7 dB, which </w:t>
      </w:r>
      <w:r w:rsidR="00D6235C">
        <w:rPr>
          <w:lang w:val="en-US"/>
        </w:rPr>
        <w:t>represents</w:t>
      </w:r>
      <w:r w:rsidR="007F5C3A">
        <w:rPr>
          <w:lang w:val="en-US"/>
        </w:rPr>
        <w:t xml:space="preserve"> the 8% of the CDF shown in Figure 2. </w:t>
      </w:r>
      <w:r w:rsidR="00D6235C">
        <w:rPr>
          <w:lang w:val="en-US"/>
        </w:rPr>
        <w:t xml:space="preserve">Intuitvely, the below figure does not account for the victim BS and aggressor BS antenna gains. It is important to agree within RAN4 if the antenna gains entail only the subarray and single element component or full AAS model. Additionally, RAN4 needs to further discuss which percentile of the curve might be meaningful compared to the approach that was adopted in TR 25.942. </w:t>
      </w:r>
    </w:p>
    <w:p w14:paraId="577655FD" w14:textId="77777777" w:rsidR="003367A1" w:rsidRDefault="003367A1" w:rsidP="008972EC">
      <w:pPr>
        <w:rPr>
          <w:lang w:val="en-US"/>
        </w:rPr>
      </w:pPr>
    </w:p>
    <w:p w14:paraId="64B0AB0E" w14:textId="77777777" w:rsidR="007F5C3A" w:rsidRDefault="003367A1" w:rsidP="007F5C3A">
      <w:pPr>
        <w:keepNext/>
        <w:jc w:val="center"/>
      </w:pPr>
      <w:r w:rsidRPr="003367A1">
        <w:rPr>
          <w:noProof/>
          <w:lang w:val="en-US"/>
        </w:rPr>
        <w:lastRenderedPageBreak/>
        <w:drawing>
          <wp:inline distT="0" distB="0" distL="0" distR="0" wp14:anchorId="45BA0708" wp14:editId="01E2720B">
            <wp:extent cx="3711492" cy="2668138"/>
            <wp:effectExtent l="0" t="0" r="0" b="0"/>
            <wp:docPr id="8472962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4156"/>
                    <a:stretch/>
                  </pic:blipFill>
                  <pic:spPr bwMode="auto">
                    <a:xfrm>
                      <a:off x="0" y="0"/>
                      <a:ext cx="3722624" cy="2676141"/>
                    </a:xfrm>
                    <a:prstGeom prst="rect">
                      <a:avLst/>
                    </a:prstGeom>
                    <a:noFill/>
                    <a:ln>
                      <a:noFill/>
                    </a:ln>
                    <a:extLst>
                      <a:ext uri="{53640926-AAD7-44D8-BBD7-CCE9431645EC}">
                        <a14:shadowObscured xmlns:a14="http://schemas.microsoft.com/office/drawing/2010/main"/>
                      </a:ext>
                    </a:extLst>
                  </pic:spPr>
                </pic:pic>
              </a:graphicData>
            </a:graphic>
          </wp:inline>
        </w:drawing>
      </w:r>
    </w:p>
    <w:p w14:paraId="2575A7E1" w14:textId="147B7AF1" w:rsidR="008972EC" w:rsidRDefault="007F5C3A" w:rsidP="007F5C3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inter-BS pathloss for UMa assuming 100% grid shift and UMa 38.901 propagation model</w:t>
      </w:r>
    </w:p>
    <w:p w14:paraId="3C3DAE91" w14:textId="45E5BE93" w:rsidR="00D6235C" w:rsidRPr="00737F41" w:rsidRDefault="00D6235C" w:rsidP="00D6235C">
      <w:pPr>
        <w:rPr>
          <w:b/>
          <w:bCs/>
          <w:lang w:val="en-US"/>
        </w:rPr>
      </w:pPr>
      <w:r w:rsidRPr="00737F41">
        <w:rPr>
          <w:b/>
          <w:bCs/>
          <w:u w:val="single"/>
          <w:lang w:val="en-US"/>
        </w:rPr>
        <w:t>Proposal 2</w:t>
      </w:r>
      <w:r w:rsidRPr="00737F41">
        <w:rPr>
          <w:b/>
          <w:bCs/>
          <w:lang w:val="en-US"/>
        </w:rPr>
        <w:t xml:space="preserve">: For the protection of BS receiver, RAN4 to further discuss </w:t>
      </w:r>
      <w:r w:rsidR="002A2D76" w:rsidRPr="00737F41">
        <w:rPr>
          <w:b/>
          <w:bCs/>
          <w:lang w:val="en-US"/>
        </w:rPr>
        <w:t xml:space="preserve">if the full AAS gain or only the subarray gain to be account for when evaluating the BS-to-BS coupling loss. </w:t>
      </w:r>
      <w:r w:rsidR="002A2D76" w:rsidRPr="00737F41">
        <w:rPr>
          <w:b/>
          <w:bCs/>
          <w:lang w:val="en-US"/>
        </w:rPr>
        <w:br/>
      </w:r>
    </w:p>
    <w:p w14:paraId="63183AFB" w14:textId="4878019B" w:rsidR="002A2D76" w:rsidRPr="00737F41" w:rsidRDefault="002A2D76" w:rsidP="00D6235C">
      <w:pPr>
        <w:rPr>
          <w:b/>
          <w:bCs/>
          <w:lang w:val="en-US"/>
        </w:rPr>
      </w:pPr>
      <w:r w:rsidRPr="00737F41">
        <w:rPr>
          <w:b/>
          <w:bCs/>
          <w:u w:val="single"/>
          <w:lang w:val="en-US"/>
        </w:rPr>
        <w:t>Proposal 3</w:t>
      </w:r>
      <w:r w:rsidRPr="00737F41">
        <w:rPr>
          <w:b/>
          <w:bCs/>
          <w:lang w:val="en-US"/>
        </w:rPr>
        <w:t xml:space="preserve">: For the protection of BS receiver, RAN4 to further discuss if statistical approach (i.e., SLS-inspired approach) to be followed or the </w:t>
      </w:r>
      <w:r w:rsidR="00737F41" w:rsidRPr="00737F41">
        <w:rPr>
          <w:b/>
          <w:bCs/>
          <w:lang w:val="en-US"/>
        </w:rPr>
        <w:t xml:space="preserve">MCL approach in TR 25.942. If the former, RAN4 to discuss which percentile of the BS-to-BS coupling loss CDF to be utilized when evaluating the updated emissions. </w:t>
      </w:r>
    </w:p>
    <w:p w14:paraId="6E12F344" w14:textId="77777777" w:rsidR="00993E9B" w:rsidRDefault="00993E9B" w:rsidP="00823087">
      <w:pPr>
        <w:pStyle w:val="Heading1"/>
        <w:ind w:left="0" w:firstLine="0"/>
        <w:jc w:val="both"/>
      </w:pPr>
      <w:r>
        <w:t>Conclusion</w:t>
      </w:r>
    </w:p>
    <w:p w14:paraId="680B5DC1" w14:textId="61AB312F" w:rsidR="00993E9B" w:rsidRDefault="00F70389" w:rsidP="00823087">
      <w:pPr>
        <w:jc w:val="both"/>
      </w:pPr>
      <w:r>
        <w:t xml:space="preserve">In this contribution we provide our views on </w:t>
      </w:r>
      <w:r w:rsidR="007D700A" w:rsidRPr="007D700A">
        <w:t>BS FR1 transmitter co-existence spurious emission requirements</w:t>
      </w:r>
      <w:r w:rsidR="007D700A">
        <w:t xml:space="preserve">. Our observations and proposals can be summarized as follows: </w:t>
      </w:r>
    </w:p>
    <w:p w14:paraId="581B62AC" w14:textId="77777777" w:rsidR="00737F41" w:rsidRDefault="00737F41" w:rsidP="00737F41">
      <w:pPr>
        <w:rPr>
          <w:b/>
          <w:bCs/>
          <w:lang w:eastAsia="ja-JP"/>
        </w:rPr>
      </w:pPr>
      <w:r w:rsidRPr="006A1622">
        <w:rPr>
          <w:b/>
          <w:bCs/>
          <w:u w:val="single"/>
          <w:lang w:eastAsia="ja-JP"/>
        </w:rPr>
        <w:t>Observation 1</w:t>
      </w:r>
      <w:r w:rsidRPr="006A1622">
        <w:rPr>
          <w:b/>
          <w:bCs/>
          <w:lang w:eastAsia="ja-JP"/>
        </w:rPr>
        <w:t xml:space="preserve">: For protection UE receiver, only by considering relevant FSPL and noise figure values for upper FR1 bands (i.e., n104), relaxation of [9.5 dB, 13.5 dB] could be realized depending on the underlying assumptions.  </w:t>
      </w:r>
    </w:p>
    <w:p w14:paraId="5498AB31" w14:textId="77777777" w:rsidR="00737F41" w:rsidRDefault="00737F41" w:rsidP="00737F41">
      <w:pPr>
        <w:rPr>
          <w:b/>
          <w:bCs/>
          <w:lang w:eastAsia="ja-JP"/>
        </w:rPr>
      </w:pPr>
      <w:r w:rsidRPr="00C42AC1">
        <w:rPr>
          <w:b/>
          <w:bCs/>
          <w:u w:val="single"/>
          <w:lang w:eastAsia="ja-JP"/>
        </w:rPr>
        <w:t>Observation 2</w:t>
      </w:r>
      <w:r w:rsidRPr="00C42AC1">
        <w:rPr>
          <w:b/>
          <w:bCs/>
          <w:lang w:eastAsia="ja-JP"/>
        </w:rPr>
        <w:t xml:space="preserve">: With system level assumptions such as 100% grid shift, 38.901 propagation model and ISD = 500m, conservative assumptions to define emission requirements that were considered TR 25.942 would not be applicable anymore. </w:t>
      </w:r>
    </w:p>
    <w:p w14:paraId="4141AAAD" w14:textId="77777777" w:rsidR="00737F41" w:rsidRPr="00B04743" w:rsidRDefault="00737F41" w:rsidP="00737F41">
      <w:pPr>
        <w:rPr>
          <w:b/>
          <w:bCs/>
          <w:lang w:val="en-US"/>
        </w:rPr>
      </w:pPr>
      <w:r w:rsidRPr="00B04743">
        <w:rPr>
          <w:b/>
          <w:bCs/>
          <w:u w:val="single"/>
          <w:lang w:eastAsia="ja-JP"/>
        </w:rPr>
        <w:t>Proposal 1</w:t>
      </w:r>
      <w:r w:rsidRPr="00B04743">
        <w:rPr>
          <w:b/>
          <w:bCs/>
          <w:lang w:eastAsia="ja-JP"/>
        </w:rPr>
        <w:t xml:space="preserve">: To account for AAS impacts, RAN4 to account for vertical and azimuthal offsets of the subarray antenna gain in the link budget analysis to derive the emission requirements. </w:t>
      </w:r>
    </w:p>
    <w:p w14:paraId="60D0E300" w14:textId="77777777" w:rsidR="00737F41" w:rsidRPr="00737F41" w:rsidRDefault="00737F41" w:rsidP="00737F41">
      <w:pPr>
        <w:rPr>
          <w:b/>
          <w:bCs/>
          <w:lang w:val="en-US"/>
        </w:rPr>
      </w:pPr>
      <w:r w:rsidRPr="00737F41">
        <w:rPr>
          <w:b/>
          <w:bCs/>
          <w:u w:val="single"/>
          <w:lang w:val="en-US"/>
        </w:rPr>
        <w:t>Proposal 2</w:t>
      </w:r>
      <w:r w:rsidRPr="00737F41">
        <w:rPr>
          <w:b/>
          <w:bCs/>
          <w:lang w:val="en-US"/>
        </w:rPr>
        <w:t xml:space="preserve">: For the protection of BS receiver, RAN4 to further discuss if the full AAS gain or only the subarray gain to be account for when evaluating the BS-to-BS coupling loss. </w:t>
      </w:r>
      <w:r w:rsidRPr="00737F41">
        <w:rPr>
          <w:b/>
          <w:bCs/>
          <w:lang w:val="en-US"/>
        </w:rPr>
        <w:br/>
      </w:r>
    </w:p>
    <w:p w14:paraId="620428A8" w14:textId="6BC78E4E" w:rsidR="00737F41" w:rsidRPr="00737F41" w:rsidRDefault="00737F41" w:rsidP="00737F41">
      <w:pPr>
        <w:rPr>
          <w:b/>
          <w:bCs/>
          <w:lang w:val="en-US"/>
        </w:rPr>
      </w:pPr>
      <w:r w:rsidRPr="00737F41">
        <w:rPr>
          <w:b/>
          <w:bCs/>
          <w:u w:val="single"/>
          <w:lang w:val="en-US"/>
        </w:rPr>
        <w:t>Proposal 3</w:t>
      </w:r>
      <w:r w:rsidRPr="00737F41">
        <w:rPr>
          <w:b/>
          <w:bCs/>
          <w:lang w:val="en-US"/>
        </w:rPr>
        <w:t xml:space="preserve">: For the protection of BS receiver, RAN4 to further discuss if statistical approach (i.e., SLS-inspired approach) to be followed or the MCL approach in TR 25.942. If the former, RAN4 to discuss which percentile of the the BS-to-BS coupling loss CDF to be utilized when evaluating the updated emissions. </w:t>
      </w:r>
    </w:p>
    <w:p w14:paraId="17189E3E" w14:textId="77777777" w:rsidR="00993E9B" w:rsidRDefault="00993E9B" w:rsidP="00823087">
      <w:pPr>
        <w:pStyle w:val="Heading1"/>
        <w:ind w:left="0" w:firstLine="0"/>
        <w:jc w:val="both"/>
      </w:pPr>
      <w:r>
        <w:t>Reference</w:t>
      </w:r>
    </w:p>
    <w:p w14:paraId="293E4246" w14:textId="5F154442" w:rsidR="00987788" w:rsidRDefault="00993E9B" w:rsidP="00931487">
      <w:pPr>
        <w:pStyle w:val="B1"/>
        <w:ind w:left="719" w:hanging="435"/>
        <w:jc w:val="both"/>
      </w:pPr>
      <w:r>
        <w:t>[1]</w:t>
      </w:r>
      <w:r>
        <w:tab/>
      </w:r>
      <w:r w:rsidR="000F58C5">
        <w:tab/>
      </w:r>
      <w:r w:rsidR="00987788" w:rsidRPr="00987788">
        <w:t>RP-242432, “</w:t>
      </w:r>
      <w:r w:rsidR="00570CBB" w:rsidRPr="00961186">
        <w:t>Moderator's summary of discussion about R19-RAN4-BSRF</w:t>
      </w:r>
      <w:r w:rsidR="00570CBB" w:rsidRPr="00987788">
        <w:t xml:space="preserve">”, </w:t>
      </w:r>
      <w:r w:rsidR="00570CBB" w:rsidRPr="00961186">
        <w:rPr>
          <w:rFonts w:hint="eastAsia"/>
        </w:rPr>
        <w:t>RAN4 Chair (Huawei)</w:t>
      </w:r>
      <w:r w:rsidR="00570CBB" w:rsidRPr="00961186">
        <w:t>, RAN #106, Madrid, Spain.</w:t>
      </w:r>
    </w:p>
    <w:p w14:paraId="2E4DA0E4" w14:textId="48C55E1A" w:rsidR="00961186" w:rsidRDefault="00931487" w:rsidP="00605972">
      <w:pPr>
        <w:ind w:left="719" w:hanging="435"/>
      </w:pPr>
      <w:r>
        <w:t>[2]</w:t>
      </w:r>
      <w:r>
        <w:tab/>
      </w:r>
      <w:r w:rsidR="0085416F" w:rsidRPr="0085416F">
        <w:t>R4-2504769</w:t>
      </w:r>
      <w:r w:rsidRPr="00987788">
        <w:t>, “</w:t>
      </w:r>
      <w:r w:rsidR="00605972" w:rsidRPr="00605972">
        <w:t>Way Forward for Tx spurious emissions co-existence limits re-evaluation</w:t>
      </w:r>
      <w:r w:rsidRPr="00987788">
        <w:t xml:space="preserve">”, </w:t>
      </w:r>
      <w:r w:rsidR="00961186" w:rsidRPr="00961186">
        <w:rPr>
          <w:rFonts w:hint="eastAsia"/>
        </w:rPr>
        <w:t>RAN4</w:t>
      </w:r>
      <w:r w:rsidR="00605972">
        <w:t>#114bis, Huawei.</w:t>
      </w:r>
    </w:p>
    <w:p w14:paraId="5A91CBBC" w14:textId="516F1CF0" w:rsidR="005D3B1B" w:rsidRPr="00961186" w:rsidRDefault="005D3B1B" w:rsidP="00605972">
      <w:pPr>
        <w:ind w:left="719" w:hanging="435"/>
      </w:pPr>
      <w:r>
        <w:lastRenderedPageBreak/>
        <w:t>[3]</w:t>
      </w:r>
      <w:r>
        <w:tab/>
      </w:r>
      <w:r w:rsidRPr="00C67965">
        <w:t xml:space="preserve">R4-2504298, </w:t>
      </w:r>
      <w:r w:rsidR="00C67965" w:rsidRPr="00C67965">
        <w:t>“Transmitter co-existence spurious emission requirements”, RAN4#114bis, Huawei.</w:t>
      </w:r>
      <w:r w:rsidR="00C67965">
        <w:rPr>
          <w:rFonts w:ascii="Arial" w:hAnsi="Arial" w:cs="Arial"/>
          <w:b/>
          <w:sz w:val="24"/>
          <w:szCs w:val="24"/>
          <w:lang w:val="en-US"/>
        </w:rPr>
        <w:t xml:space="preserve"> </w:t>
      </w:r>
    </w:p>
    <w:p w14:paraId="1763AA73" w14:textId="54B907DA" w:rsidR="00931487" w:rsidRPr="00961186" w:rsidRDefault="00931487" w:rsidP="00931487">
      <w:pPr>
        <w:pStyle w:val="B1"/>
        <w:ind w:left="719" w:hanging="435"/>
        <w:jc w:val="both"/>
        <w:rPr>
          <w:lang w:val="en-US"/>
        </w:rPr>
      </w:pPr>
    </w:p>
    <w:p w14:paraId="5467FF78" w14:textId="77777777" w:rsidR="00993E9B" w:rsidRPr="00931487" w:rsidRDefault="00993E9B" w:rsidP="00823087">
      <w:pPr>
        <w:jc w:val="both"/>
      </w:pPr>
    </w:p>
    <w:sectPr w:rsidR="00993E9B" w:rsidRPr="00931487"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508BC" w14:textId="77777777" w:rsidR="00C35CCA" w:rsidRDefault="00C35CCA" w:rsidP="0053201B">
      <w:pPr>
        <w:spacing w:after="0"/>
      </w:pPr>
      <w:r>
        <w:separator/>
      </w:r>
    </w:p>
  </w:endnote>
  <w:endnote w:type="continuationSeparator" w:id="0">
    <w:p w14:paraId="1248FE84" w14:textId="77777777" w:rsidR="00C35CCA" w:rsidRDefault="00C35CCA" w:rsidP="0053201B">
      <w:pPr>
        <w:spacing w:after="0"/>
      </w:pPr>
      <w:r>
        <w:continuationSeparator/>
      </w:r>
    </w:p>
  </w:endnote>
  <w:endnote w:type="continuationNotice" w:id="1">
    <w:p w14:paraId="0C824249" w14:textId="77777777" w:rsidR="00C35CCA" w:rsidRDefault="00C35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8D0BC" w14:textId="77777777" w:rsidR="00C35CCA" w:rsidRDefault="00C35CCA" w:rsidP="0053201B">
      <w:pPr>
        <w:spacing w:after="0"/>
      </w:pPr>
      <w:r>
        <w:separator/>
      </w:r>
    </w:p>
  </w:footnote>
  <w:footnote w:type="continuationSeparator" w:id="0">
    <w:p w14:paraId="7CE8F435" w14:textId="77777777" w:rsidR="00C35CCA" w:rsidRDefault="00C35CCA" w:rsidP="0053201B">
      <w:pPr>
        <w:spacing w:after="0"/>
      </w:pPr>
      <w:r>
        <w:continuationSeparator/>
      </w:r>
    </w:p>
  </w:footnote>
  <w:footnote w:type="continuationNotice" w:id="1">
    <w:p w14:paraId="27FEA1AA" w14:textId="77777777" w:rsidR="00C35CCA" w:rsidRDefault="00C35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417AEB"/>
    <w:multiLevelType w:val="hybridMultilevel"/>
    <w:tmpl w:val="B6CA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0A34"/>
    <w:multiLevelType w:val="hybridMultilevel"/>
    <w:tmpl w:val="15FE27FE"/>
    <w:lvl w:ilvl="0" w:tplc="CC48790A">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5003E5"/>
    <w:multiLevelType w:val="hybridMultilevel"/>
    <w:tmpl w:val="13367C7A"/>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5"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D03C88"/>
    <w:multiLevelType w:val="multilevel"/>
    <w:tmpl w:val="3CD03C88"/>
    <w:lvl w:ilvl="0">
      <w:start w:val="1"/>
      <w:numFmt w:val="bullet"/>
      <w:lvlText w:val=""/>
      <w:lvlJc w:val="left"/>
      <w:pPr>
        <w:ind w:left="0" w:hanging="360"/>
      </w:pPr>
      <w:rPr>
        <w:rFonts w:ascii="Symbol" w:hAnsi="Symbol" w:hint="default"/>
      </w:rPr>
    </w:lvl>
    <w:lvl w:ilvl="1">
      <w:start w:val="1686"/>
      <w:numFmt w:val="bullet"/>
      <w:lvlText w:val="–"/>
      <w:lvlJc w:val="left"/>
      <w:pPr>
        <w:ind w:left="720" w:hanging="360"/>
      </w:pPr>
      <w:rPr>
        <w:rFonts w:ascii="Arial" w:hAnsi="Arial" w:cs="Times New Roman"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40D743D4"/>
    <w:multiLevelType w:val="multilevel"/>
    <w:tmpl w:val="D73256D8"/>
    <w:lvl w:ilvl="0">
      <w:start w:val="1"/>
      <w:numFmt w:val="bullet"/>
      <w:lvlText w:val=""/>
      <w:lvlJc w:val="left"/>
      <w:pPr>
        <w:ind w:left="420" w:hanging="420"/>
      </w:pPr>
      <w:rPr>
        <w:rFonts w:ascii="Symbol" w:hAnsi="Symbol" w:hint="default"/>
      </w:rPr>
    </w:lvl>
    <w:lvl w:ilvl="1">
      <w:start w:val="1"/>
      <w:numFmt w:val="bullet"/>
      <w:lvlText w:val=""/>
      <w:lvlJc w:val="left"/>
      <w:pPr>
        <w:ind w:left="273" w:hanging="420"/>
      </w:pPr>
      <w:rPr>
        <w:rFonts w:ascii="Wingdings" w:hAnsi="Wingdings" w:hint="default"/>
      </w:rPr>
    </w:lvl>
    <w:lvl w:ilvl="2">
      <w:start w:val="1"/>
      <w:numFmt w:val="bullet"/>
      <w:lvlText w:val=""/>
      <w:lvlJc w:val="left"/>
      <w:pPr>
        <w:ind w:left="693" w:hanging="420"/>
      </w:pPr>
      <w:rPr>
        <w:rFonts w:ascii="Wingdings" w:hAnsi="Wingdings" w:hint="default"/>
      </w:rPr>
    </w:lvl>
    <w:lvl w:ilvl="3">
      <w:start w:val="1"/>
      <w:numFmt w:val="bullet"/>
      <w:lvlText w:val=""/>
      <w:lvlJc w:val="left"/>
      <w:pPr>
        <w:ind w:left="1113" w:hanging="420"/>
      </w:pPr>
      <w:rPr>
        <w:rFonts w:ascii="Wingdings" w:hAnsi="Wingdings" w:hint="default"/>
      </w:rPr>
    </w:lvl>
    <w:lvl w:ilvl="4">
      <w:start w:val="1"/>
      <w:numFmt w:val="bullet"/>
      <w:lvlText w:val=""/>
      <w:lvlJc w:val="left"/>
      <w:pPr>
        <w:ind w:left="1533" w:hanging="420"/>
      </w:pPr>
      <w:rPr>
        <w:rFonts w:ascii="Wingdings" w:hAnsi="Wingdings" w:hint="default"/>
      </w:rPr>
    </w:lvl>
    <w:lvl w:ilvl="5">
      <w:start w:val="1"/>
      <w:numFmt w:val="bullet"/>
      <w:lvlText w:val=""/>
      <w:lvlJc w:val="left"/>
      <w:pPr>
        <w:ind w:left="1953" w:hanging="420"/>
      </w:pPr>
      <w:rPr>
        <w:rFonts w:ascii="Wingdings" w:hAnsi="Wingdings" w:hint="default"/>
      </w:rPr>
    </w:lvl>
    <w:lvl w:ilvl="6">
      <w:start w:val="1"/>
      <w:numFmt w:val="bullet"/>
      <w:lvlText w:val=""/>
      <w:lvlJc w:val="left"/>
      <w:pPr>
        <w:ind w:left="2373" w:hanging="420"/>
      </w:pPr>
      <w:rPr>
        <w:rFonts w:ascii="Wingdings" w:hAnsi="Wingdings" w:hint="default"/>
      </w:rPr>
    </w:lvl>
    <w:lvl w:ilvl="7">
      <w:start w:val="1"/>
      <w:numFmt w:val="bullet"/>
      <w:lvlText w:val=""/>
      <w:lvlJc w:val="left"/>
      <w:pPr>
        <w:ind w:left="2793" w:hanging="420"/>
      </w:pPr>
      <w:rPr>
        <w:rFonts w:ascii="Wingdings" w:hAnsi="Wingdings" w:hint="default"/>
      </w:rPr>
    </w:lvl>
    <w:lvl w:ilvl="8">
      <w:start w:val="1"/>
      <w:numFmt w:val="bullet"/>
      <w:lvlText w:val=""/>
      <w:lvlJc w:val="left"/>
      <w:pPr>
        <w:ind w:left="3213" w:hanging="420"/>
      </w:pPr>
      <w:rPr>
        <w:rFonts w:ascii="Wingdings" w:hAnsi="Wingdings" w:hint="default"/>
      </w:rPr>
    </w:lvl>
  </w:abstractNum>
  <w:abstractNum w:abstractNumId="12" w15:restartNumberingAfterBreak="0">
    <w:nsid w:val="46DF2E4E"/>
    <w:multiLevelType w:val="hybridMultilevel"/>
    <w:tmpl w:val="3C34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14" w15:restartNumberingAfterBreak="0">
    <w:nsid w:val="4A433AE7"/>
    <w:multiLevelType w:val="multilevel"/>
    <w:tmpl w:val="4A433AE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273" w:hanging="420"/>
      </w:pPr>
      <w:rPr>
        <w:rFonts w:ascii="Wingdings" w:hAnsi="Wingdings" w:hint="default"/>
      </w:rPr>
    </w:lvl>
    <w:lvl w:ilvl="2">
      <w:start w:val="1"/>
      <w:numFmt w:val="bullet"/>
      <w:lvlText w:val=""/>
      <w:lvlJc w:val="left"/>
      <w:pPr>
        <w:ind w:left="693" w:hanging="420"/>
      </w:pPr>
      <w:rPr>
        <w:rFonts w:ascii="Wingdings" w:hAnsi="Wingdings" w:hint="default"/>
      </w:rPr>
    </w:lvl>
    <w:lvl w:ilvl="3">
      <w:start w:val="1"/>
      <w:numFmt w:val="bullet"/>
      <w:lvlText w:val=""/>
      <w:lvlJc w:val="left"/>
      <w:pPr>
        <w:ind w:left="1113" w:hanging="420"/>
      </w:pPr>
      <w:rPr>
        <w:rFonts w:ascii="Wingdings" w:hAnsi="Wingdings" w:hint="default"/>
      </w:rPr>
    </w:lvl>
    <w:lvl w:ilvl="4">
      <w:start w:val="1"/>
      <w:numFmt w:val="bullet"/>
      <w:lvlText w:val=""/>
      <w:lvlJc w:val="left"/>
      <w:pPr>
        <w:ind w:left="1533" w:hanging="420"/>
      </w:pPr>
      <w:rPr>
        <w:rFonts w:ascii="Wingdings" w:hAnsi="Wingdings" w:hint="default"/>
      </w:rPr>
    </w:lvl>
    <w:lvl w:ilvl="5">
      <w:start w:val="1"/>
      <w:numFmt w:val="bullet"/>
      <w:lvlText w:val=""/>
      <w:lvlJc w:val="left"/>
      <w:pPr>
        <w:ind w:left="1953" w:hanging="420"/>
      </w:pPr>
      <w:rPr>
        <w:rFonts w:ascii="Wingdings" w:hAnsi="Wingdings" w:hint="default"/>
      </w:rPr>
    </w:lvl>
    <w:lvl w:ilvl="6">
      <w:start w:val="1"/>
      <w:numFmt w:val="bullet"/>
      <w:lvlText w:val=""/>
      <w:lvlJc w:val="left"/>
      <w:pPr>
        <w:ind w:left="2373" w:hanging="420"/>
      </w:pPr>
      <w:rPr>
        <w:rFonts w:ascii="Wingdings" w:hAnsi="Wingdings" w:hint="default"/>
      </w:rPr>
    </w:lvl>
    <w:lvl w:ilvl="7">
      <w:start w:val="1"/>
      <w:numFmt w:val="bullet"/>
      <w:lvlText w:val=""/>
      <w:lvlJc w:val="left"/>
      <w:pPr>
        <w:ind w:left="2793" w:hanging="420"/>
      </w:pPr>
      <w:rPr>
        <w:rFonts w:ascii="Wingdings" w:hAnsi="Wingdings" w:hint="default"/>
      </w:rPr>
    </w:lvl>
    <w:lvl w:ilvl="8">
      <w:start w:val="1"/>
      <w:numFmt w:val="bullet"/>
      <w:lvlText w:val=""/>
      <w:lvlJc w:val="left"/>
      <w:pPr>
        <w:ind w:left="3213" w:hanging="420"/>
      </w:pPr>
      <w:rPr>
        <w:rFonts w:ascii="Wingdings" w:hAnsi="Wingdings" w:hint="default"/>
      </w:rPr>
    </w:lvl>
  </w:abstractNum>
  <w:abstractNum w:abstractNumId="1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0165617">
    <w:abstractNumId w:val="15"/>
  </w:num>
  <w:num w:numId="2" w16cid:durableId="1621305404">
    <w:abstractNumId w:val="5"/>
  </w:num>
  <w:num w:numId="3" w16cid:durableId="225802869">
    <w:abstractNumId w:val="7"/>
  </w:num>
  <w:num w:numId="4" w16cid:durableId="276178333">
    <w:abstractNumId w:val="0"/>
  </w:num>
  <w:num w:numId="5" w16cid:durableId="1935287387">
    <w:abstractNumId w:val="9"/>
  </w:num>
  <w:num w:numId="6" w16cid:durableId="1874151125">
    <w:abstractNumId w:val="8"/>
  </w:num>
  <w:num w:numId="7" w16cid:durableId="578293186">
    <w:abstractNumId w:val="18"/>
  </w:num>
  <w:num w:numId="8" w16cid:durableId="1348213749">
    <w:abstractNumId w:val="19"/>
  </w:num>
  <w:num w:numId="9" w16cid:durableId="182205902">
    <w:abstractNumId w:val="12"/>
  </w:num>
  <w:num w:numId="10" w16cid:durableId="415714229">
    <w:abstractNumId w:val="6"/>
  </w:num>
  <w:num w:numId="11" w16cid:durableId="860585798">
    <w:abstractNumId w:val="17"/>
  </w:num>
  <w:num w:numId="12" w16cid:durableId="1528135396">
    <w:abstractNumId w:val="14"/>
  </w:num>
  <w:num w:numId="13" w16cid:durableId="1820998372">
    <w:abstractNumId w:val="13"/>
  </w:num>
  <w:num w:numId="14" w16cid:durableId="1673990747">
    <w:abstractNumId w:val="11"/>
  </w:num>
  <w:num w:numId="15" w16cid:durableId="1566528953">
    <w:abstractNumId w:val="16"/>
  </w:num>
  <w:num w:numId="16" w16cid:durableId="290675087">
    <w:abstractNumId w:val="3"/>
  </w:num>
  <w:num w:numId="17" w16cid:durableId="215895518">
    <w:abstractNumId w:val="10"/>
  </w:num>
  <w:num w:numId="18" w16cid:durableId="19476255">
    <w:abstractNumId w:val="2"/>
  </w:num>
  <w:num w:numId="19" w16cid:durableId="153497083">
    <w:abstractNumId w:val="4"/>
  </w:num>
  <w:num w:numId="20" w16cid:durableId="1954051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0DDC"/>
    <w:rsid w:val="00004C37"/>
    <w:rsid w:val="000078FE"/>
    <w:rsid w:val="00007B82"/>
    <w:rsid w:val="00007D73"/>
    <w:rsid w:val="00010E35"/>
    <w:rsid w:val="00013461"/>
    <w:rsid w:val="00013F0C"/>
    <w:rsid w:val="000145C6"/>
    <w:rsid w:val="00017136"/>
    <w:rsid w:val="00017D94"/>
    <w:rsid w:val="00022822"/>
    <w:rsid w:val="00026CE8"/>
    <w:rsid w:val="000279EE"/>
    <w:rsid w:val="000306B5"/>
    <w:rsid w:val="0003182D"/>
    <w:rsid w:val="00032992"/>
    <w:rsid w:val="00033125"/>
    <w:rsid w:val="00033C4D"/>
    <w:rsid w:val="00035F2A"/>
    <w:rsid w:val="00036DF9"/>
    <w:rsid w:val="0003708C"/>
    <w:rsid w:val="00042EEC"/>
    <w:rsid w:val="000443F3"/>
    <w:rsid w:val="00044432"/>
    <w:rsid w:val="00045BA0"/>
    <w:rsid w:val="00051760"/>
    <w:rsid w:val="00051CBB"/>
    <w:rsid w:val="00052D61"/>
    <w:rsid w:val="000549C0"/>
    <w:rsid w:val="00055CC6"/>
    <w:rsid w:val="0005666D"/>
    <w:rsid w:val="00057089"/>
    <w:rsid w:val="000571DA"/>
    <w:rsid w:val="00060652"/>
    <w:rsid w:val="00061089"/>
    <w:rsid w:val="000644E6"/>
    <w:rsid w:val="0006489B"/>
    <w:rsid w:val="00065D07"/>
    <w:rsid w:val="00072127"/>
    <w:rsid w:val="000748BF"/>
    <w:rsid w:val="00074E08"/>
    <w:rsid w:val="00075C2C"/>
    <w:rsid w:val="0007667A"/>
    <w:rsid w:val="000815D7"/>
    <w:rsid w:val="00092337"/>
    <w:rsid w:val="00092704"/>
    <w:rsid w:val="00093094"/>
    <w:rsid w:val="000935DC"/>
    <w:rsid w:val="000936E9"/>
    <w:rsid w:val="00094E71"/>
    <w:rsid w:val="000970DC"/>
    <w:rsid w:val="000A0B8D"/>
    <w:rsid w:val="000A1B62"/>
    <w:rsid w:val="000A2A30"/>
    <w:rsid w:val="000A440D"/>
    <w:rsid w:val="000A56A5"/>
    <w:rsid w:val="000A6D92"/>
    <w:rsid w:val="000A7233"/>
    <w:rsid w:val="000A7B2E"/>
    <w:rsid w:val="000A7EB4"/>
    <w:rsid w:val="000B3542"/>
    <w:rsid w:val="000B3A88"/>
    <w:rsid w:val="000B5295"/>
    <w:rsid w:val="000C0DC3"/>
    <w:rsid w:val="000C1623"/>
    <w:rsid w:val="000C1721"/>
    <w:rsid w:val="000C3DCF"/>
    <w:rsid w:val="000C56C7"/>
    <w:rsid w:val="000C6366"/>
    <w:rsid w:val="000D0718"/>
    <w:rsid w:val="000D285C"/>
    <w:rsid w:val="000D2995"/>
    <w:rsid w:val="000D47FB"/>
    <w:rsid w:val="000D5607"/>
    <w:rsid w:val="000D6BD6"/>
    <w:rsid w:val="000D7310"/>
    <w:rsid w:val="000D7E97"/>
    <w:rsid w:val="000E12A5"/>
    <w:rsid w:val="000E2BD0"/>
    <w:rsid w:val="000E33E8"/>
    <w:rsid w:val="000E70BD"/>
    <w:rsid w:val="000E7DF4"/>
    <w:rsid w:val="000F013E"/>
    <w:rsid w:val="000F2080"/>
    <w:rsid w:val="000F341E"/>
    <w:rsid w:val="000F4CE9"/>
    <w:rsid w:val="000F5117"/>
    <w:rsid w:val="000F58C5"/>
    <w:rsid w:val="0010131B"/>
    <w:rsid w:val="0010170A"/>
    <w:rsid w:val="00104DCC"/>
    <w:rsid w:val="00107BA1"/>
    <w:rsid w:val="00107C2C"/>
    <w:rsid w:val="00113B2A"/>
    <w:rsid w:val="00114C85"/>
    <w:rsid w:val="001163DF"/>
    <w:rsid w:val="00116DCF"/>
    <w:rsid w:val="00120B88"/>
    <w:rsid w:val="00121442"/>
    <w:rsid w:val="00121BDB"/>
    <w:rsid w:val="00123F0D"/>
    <w:rsid w:val="0012718A"/>
    <w:rsid w:val="001319A1"/>
    <w:rsid w:val="001348C9"/>
    <w:rsid w:val="00135A27"/>
    <w:rsid w:val="001369FC"/>
    <w:rsid w:val="00142DBE"/>
    <w:rsid w:val="0014457D"/>
    <w:rsid w:val="00144F6F"/>
    <w:rsid w:val="001462A9"/>
    <w:rsid w:val="001466B9"/>
    <w:rsid w:val="00146CA5"/>
    <w:rsid w:val="0014783E"/>
    <w:rsid w:val="00160912"/>
    <w:rsid w:val="00161208"/>
    <w:rsid w:val="00161FAB"/>
    <w:rsid w:val="0016444F"/>
    <w:rsid w:val="001653C1"/>
    <w:rsid w:val="00167649"/>
    <w:rsid w:val="00167AE0"/>
    <w:rsid w:val="00170C0A"/>
    <w:rsid w:val="00175A08"/>
    <w:rsid w:val="001772ED"/>
    <w:rsid w:val="001803A2"/>
    <w:rsid w:val="00181E6F"/>
    <w:rsid w:val="00182261"/>
    <w:rsid w:val="00182315"/>
    <w:rsid w:val="001825C3"/>
    <w:rsid w:val="0018359E"/>
    <w:rsid w:val="0018394D"/>
    <w:rsid w:val="00190272"/>
    <w:rsid w:val="00191752"/>
    <w:rsid w:val="00191CD6"/>
    <w:rsid w:val="00197A3F"/>
    <w:rsid w:val="00197BEC"/>
    <w:rsid w:val="001A2142"/>
    <w:rsid w:val="001A4B0F"/>
    <w:rsid w:val="001A7111"/>
    <w:rsid w:val="001A7539"/>
    <w:rsid w:val="001B15BE"/>
    <w:rsid w:val="001B1A6A"/>
    <w:rsid w:val="001B1B58"/>
    <w:rsid w:val="001B1BB6"/>
    <w:rsid w:val="001B43FB"/>
    <w:rsid w:val="001B460F"/>
    <w:rsid w:val="001B5B2C"/>
    <w:rsid w:val="001B6521"/>
    <w:rsid w:val="001B7499"/>
    <w:rsid w:val="001C1906"/>
    <w:rsid w:val="001C1E73"/>
    <w:rsid w:val="001C2CC8"/>
    <w:rsid w:val="001C3479"/>
    <w:rsid w:val="001C3EB8"/>
    <w:rsid w:val="001C4E23"/>
    <w:rsid w:val="001C6F35"/>
    <w:rsid w:val="001D15E4"/>
    <w:rsid w:val="001D1E76"/>
    <w:rsid w:val="001D27C1"/>
    <w:rsid w:val="001D538E"/>
    <w:rsid w:val="001D53D3"/>
    <w:rsid w:val="001E05F1"/>
    <w:rsid w:val="001E2ACD"/>
    <w:rsid w:val="001E310D"/>
    <w:rsid w:val="001E4DFB"/>
    <w:rsid w:val="001E51AD"/>
    <w:rsid w:val="001E7ECC"/>
    <w:rsid w:val="001F0CF1"/>
    <w:rsid w:val="001F1332"/>
    <w:rsid w:val="001F3F6D"/>
    <w:rsid w:val="001F4658"/>
    <w:rsid w:val="001F4DD0"/>
    <w:rsid w:val="001F5FF5"/>
    <w:rsid w:val="00200EEE"/>
    <w:rsid w:val="0020349E"/>
    <w:rsid w:val="00207990"/>
    <w:rsid w:val="00211997"/>
    <w:rsid w:val="00214C4F"/>
    <w:rsid w:val="00216130"/>
    <w:rsid w:val="002279EE"/>
    <w:rsid w:val="00227A51"/>
    <w:rsid w:val="00227F48"/>
    <w:rsid w:val="00231C22"/>
    <w:rsid w:val="00233562"/>
    <w:rsid w:val="00234786"/>
    <w:rsid w:val="00237A52"/>
    <w:rsid w:val="00241254"/>
    <w:rsid w:val="00243696"/>
    <w:rsid w:val="00243A28"/>
    <w:rsid w:val="00245845"/>
    <w:rsid w:val="00250189"/>
    <w:rsid w:val="002506BC"/>
    <w:rsid w:val="00251CA5"/>
    <w:rsid w:val="00251F2F"/>
    <w:rsid w:val="002521A1"/>
    <w:rsid w:val="00260500"/>
    <w:rsid w:val="00260DCE"/>
    <w:rsid w:val="0026134C"/>
    <w:rsid w:val="00262398"/>
    <w:rsid w:val="002626C4"/>
    <w:rsid w:val="0026504E"/>
    <w:rsid w:val="0027138A"/>
    <w:rsid w:val="00271533"/>
    <w:rsid w:val="00273A0A"/>
    <w:rsid w:val="0027560E"/>
    <w:rsid w:val="00275A9F"/>
    <w:rsid w:val="00276773"/>
    <w:rsid w:val="00276BCD"/>
    <w:rsid w:val="00276C66"/>
    <w:rsid w:val="00277353"/>
    <w:rsid w:val="00284373"/>
    <w:rsid w:val="0028482E"/>
    <w:rsid w:val="00290E74"/>
    <w:rsid w:val="00292411"/>
    <w:rsid w:val="002933E2"/>
    <w:rsid w:val="00294EA4"/>
    <w:rsid w:val="0029511E"/>
    <w:rsid w:val="00296BA8"/>
    <w:rsid w:val="00297A8F"/>
    <w:rsid w:val="002A0377"/>
    <w:rsid w:val="002A1AFD"/>
    <w:rsid w:val="002A2D76"/>
    <w:rsid w:val="002A528C"/>
    <w:rsid w:val="002A56A3"/>
    <w:rsid w:val="002A5C1F"/>
    <w:rsid w:val="002B06B1"/>
    <w:rsid w:val="002B3216"/>
    <w:rsid w:val="002B518E"/>
    <w:rsid w:val="002B7498"/>
    <w:rsid w:val="002C228A"/>
    <w:rsid w:val="002C2F63"/>
    <w:rsid w:val="002C42C0"/>
    <w:rsid w:val="002C4959"/>
    <w:rsid w:val="002C6CEB"/>
    <w:rsid w:val="002D05B4"/>
    <w:rsid w:val="002D10A8"/>
    <w:rsid w:val="002D334C"/>
    <w:rsid w:val="002D37EF"/>
    <w:rsid w:val="002D4C61"/>
    <w:rsid w:val="002D5686"/>
    <w:rsid w:val="002D7004"/>
    <w:rsid w:val="002D7E42"/>
    <w:rsid w:val="002E0D2A"/>
    <w:rsid w:val="002E25D5"/>
    <w:rsid w:val="002E41DD"/>
    <w:rsid w:val="002E47F6"/>
    <w:rsid w:val="002E52BD"/>
    <w:rsid w:val="002E7213"/>
    <w:rsid w:val="002F1EB5"/>
    <w:rsid w:val="002F21B4"/>
    <w:rsid w:val="002F2AB9"/>
    <w:rsid w:val="002F5DAE"/>
    <w:rsid w:val="0030280F"/>
    <w:rsid w:val="0030399D"/>
    <w:rsid w:val="003048C0"/>
    <w:rsid w:val="00305391"/>
    <w:rsid w:val="00305B4F"/>
    <w:rsid w:val="00307112"/>
    <w:rsid w:val="003133B0"/>
    <w:rsid w:val="00316280"/>
    <w:rsid w:val="00316FD6"/>
    <w:rsid w:val="00317293"/>
    <w:rsid w:val="0032021E"/>
    <w:rsid w:val="00321D1C"/>
    <w:rsid w:val="00322279"/>
    <w:rsid w:val="003258C5"/>
    <w:rsid w:val="0032724D"/>
    <w:rsid w:val="003305C8"/>
    <w:rsid w:val="0033380F"/>
    <w:rsid w:val="00334FD0"/>
    <w:rsid w:val="003367A1"/>
    <w:rsid w:val="00337758"/>
    <w:rsid w:val="003465F6"/>
    <w:rsid w:val="00353594"/>
    <w:rsid w:val="00353E63"/>
    <w:rsid w:val="0035667D"/>
    <w:rsid w:val="00360620"/>
    <w:rsid w:val="00361BD3"/>
    <w:rsid w:val="0036304C"/>
    <w:rsid w:val="00364F08"/>
    <w:rsid w:val="00372617"/>
    <w:rsid w:val="00372A94"/>
    <w:rsid w:val="00372F65"/>
    <w:rsid w:val="00375194"/>
    <w:rsid w:val="003767E9"/>
    <w:rsid w:val="00376BE9"/>
    <w:rsid w:val="00380879"/>
    <w:rsid w:val="0038129F"/>
    <w:rsid w:val="00381DB5"/>
    <w:rsid w:val="00382370"/>
    <w:rsid w:val="00382371"/>
    <w:rsid w:val="00383BAD"/>
    <w:rsid w:val="00385FD4"/>
    <w:rsid w:val="0038656B"/>
    <w:rsid w:val="00391215"/>
    <w:rsid w:val="003936F9"/>
    <w:rsid w:val="00393C46"/>
    <w:rsid w:val="0039424F"/>
    <w:rsid w:val="0039474E"/>
    <w:rsid w:val="0039505A"/>
    <w:rsid w:val="00395352"/>
    <w:rsid w:val="0039563D"/>
    <w:rsid w:val="003979C3"/>
    <w:rsid w:val="003A10AA"/>
    <w:rsid w:val="003A3549"/>
    <w:rsid w:val="003A3C97"/>
    <w:rsid w:val="003A3D36"/>
    <w:rsid w:val="003A5222"/>
    <w:rsid w:val="003A5241"/>
    <w:rsid w:val="003A6182"/>
    <w:rsid w:val="003A7F3D"/>
    <w:rsid w:val="003B0F1D"/>
    <w:rsid w:val="003B42B3"/>
    <w:rsid w:val="003B5241"/>
    <w:rsid w:val="003C11F6"/>
    <w:rsid w:val="003C4B63"/>
    <w:rsid w:val="003C67B3"/>
    <w:rsid w:val="003D15E8"/>
    <w:rsid w:val="003D74A8"/>
    <w:rsid w:val="003D7C3F"/>
    <w:rsid w:val="003E3A9E"/>
    <w:rsid w:val="003F072B"/>
    <w:rsid w:val="003F09FC"/>
    <w:rsid w:val="003F1807"/>
    <w:rsid w:val="003F1A0A"/>
    <w:rsid w:val="003F47E7"/>
    <w:rsid w:val="003F63B9"/>
    <w:rsid w:val="003F677E"/>
    <w:rsid w:val="003F73B2"/>
    <w:rsid w:val="00406761"/>
    <w:rsid w:val="004072E0"/>
    <w:rsid w:val="00407A8F"/>
    <w:rsid w:val="0041345F"/>
    <w:rsid w:val="00414994"/>
    <w:rsid w:val="00414D26"/>
    <w:rsid w:val="00416D91"/>
    <w:rsid w:val="00417DE4"/>
    <w:rsid w:val="00421136"/>
    <w:rsid w:val="004215DE"/>
    <w:rsid w:val="00422862"/>
    <w:rsid w:val="00422C13"/>
    <w:rsid w:val="00424873"/>
    <w:rsid w:val="00424A73"/>
    <w:rsid w:val="00426863"/>
    <w:rsid w:val="00430AC5"/>
    <w:rsid w:val="0043357D"/>
    <w:rsid w:val="0043519E"/>
    <w:rsid w:val="00435C07"/>
    <w:rsid w:val="00435EB2"/>
    <w:rsid w:val="0043613C"/>
    <w:rsid w:val="00436933"/>
    <w:rsid w:val="00436C09"/>
    <w:rsid w:val="00437F5C"/>
    <w:rsid w:val="00441FC9"/>
    <w:rsid w:val="00443278"/>
    <w:rsid w:val="00443AB1"/>
    <w:rsid w:val="00444E68"/>
    <w:rsid w:val="00445A40"/>
    <w:rsid w:val="00447161"/>
    <w:rsid w:val="00452D8D"/>
    <w:rsid w:val="00460D5F"/>
    <w:rsid w:val="00465A5D"/>
    <w:rsid w:val="004669D3"/>
    <w:rsid w:val="004676D5"/>
    <w:rsid w:val="00467828"/>
    <w:rsid w:val="004708EF"/>
    <w:rsid w:val="00471D05"/>
    <w:rsid w:val="00471F05"/>
    <w:rsid w:val="00472227"/>
    <w:rsid w:val="004726BC"/>
    <w:rsid w:val="00473222"/>
    <w:rsid w:val="00474456"/>
    <w:rsid w:val="00475654"/>
    <w:rsid w:val="0047592D"/>
    <w:rsid w:val="00477A2D"/>
    <w:rsid w:val="00480E0D"/>
    <w:rsid w:val="00480E69"/>
    <w:rsid w:val="00482050"/>
    <w:rsid w:val="004825C8"/>
    <w:rsid w:val="004849E4"/>
    <w:rsid w:val="0048564C"/>
    <w:rsid w:val="0048722C"/>
    <w:rsid w:val="004876C7"/>
    <w:rsid w:val="00487D81"/>
    <w:rsid w:val="004912C6"/>
    <w:rsid w:val="00492279"/>
    <w:rsid w:val="004931EC"/>
    <w:rsid w:val="004A35BF"/>
    <w:rsid w:val="004A4BBF"/>
    <w:rsid w:val="004A4C44"/>
    <w:rsid w:val="004A6294"/>
    <w:rsid w:val="004A75F9"/>
    <w:rsid w:val="004B3A04"/>
    <w:rsid w:val="004B3B6F"/>
    <w:rsid w:val="004B3DF6"/>
    <w:rsid w:val="004B7A80"/>
    <w:rsid w:val="004C4936"/>
    <w:rsid w:val="004C4A1C"/>
    <w:rsid w:val="004C5C10"/>
    <w:rsid w:val="004C6563"/>
    <w:rsid w:val="004C7A0E"/>
    <w:rsid w:val="004D1525"/>
    <w:rsid w:val="004D6EBC"/>
    <w:rsid w:val="004D7E41"/>
    <w:rsid w:val="004E2406"/>
    <w:rsid w:val="004E349A"/>
    <w:rsid w:val="004E45AA"/>
    <w:rsid w:val="004F1A73"/>
    <w:rsid w:val="004F2BF4"/>
    <w:rsid w:val="004F3FF4"/>
    <w:rsid w:val="004F55A5"/>
    <w:rsid w:val="0050553B"/>
    <w:rsid w:val="00505F3D"/>
    <w:rsid w:val="0051127D"/>
    <w:rsid w:val="00512CE9"/>
    <w:rsid w:val="0051387B"/>
    <w:rsid w:val="00514664"/>
    <w:rsid w:val="00515FB6"/>
    <w:rsid w:val="00516298"/>
    <w:rsid w:val="005204D9"/>
    <w:rsid w:val="00520EE2"/>
    <w:rsid w:val="005253D9"/>
    <w:rsid w:val="00530A15"/>
    <w:rsid w:val="00530CAE"/>
    <w:rsid w:val="00530F13"/>
    <w:rsid w:val="00531513"/>
    <w:rsid w:val="00531562"/>
    <w:rsid w:val="0053201B"/>
    <w:rsid w:val="00532AF0"/>
    <w:rsid w:val="0053312E"/>
    <w:rsid w:val="00534BFC"/>
    <w:rsid w:val="00534E40"/>
    <w:rsid w:val="005362DF"/>
    <w:rsid w:val="00545D5C"/>
    <w:rsid w:val="00546B72"/>
    <w:rsid w:val="005470FB"/>
    <w:rsid w:val="00551CFE"/>
    <w:rsid w:val="00551F51"/>
    <w:rsid w:val="00556D06"/>
    <w:rsid w:val="005611DE"/>
    <w:rsid w:val="00562B1A"/>
    <w:rsid w:val="00563EE6"/>
    <w:rsid w:val="00563F03"/>
    <w:rsid w:val="0056410B"/>
    <w:rsid w:val="00565FBB"/>
    <w:rsid w:val="00570713"/>
    <w:rsid w:val="00570CBB"/>
    <w:rsid w:val="00572364"/>
    <w:rsid w:val="00573A77"/>
    <w:rsid w:val="005758E6"/>
    <w:rsid w:val="00576DC8"/>
    <w:rsid w:val="00581C4D"/>
    <w:rsid w:val="00582E47"/>
    <w:rsid w:val="0059132F"/>
    <w:rsid w:val="0059192C"/>
    <w:rsid w:val="00591CD7"/>
    <w:rsid w:val="005927C2"/>
    <w:rsid w:val="005934D6"/>
    <w:rsid w:val="00594391"/>
    <w:rsid w:val="005952AA"/>
    <w:rsid w:val="00595701"/>
    <w:rsid w:val="00597CAD"/>
    <w:rsid w:val="005A1820"/>
    <w:rsid w:val="005A2677"/>
    <w:rsid w:val="005A3804"/>
    <w:rsid w:val="005A39C6"/>
    <w:rsid w:val="005A3D05"/>
    <w:rsid w:val="005A643E"/>
    <w:rsid w:val="005A68EB"/>
    <w:rsid w:val="005A71D8"/>
    <w:rsid w:val="005B0059"/>
    <w:rsid w:val="005B04DF"/>
    <w:rsid w:val="005B09F0"/>
    <w:rsid w:val="005B1347"/>
    <w:rsid w:val="005B6ECB"/>
    <w:rsid w:val="005C0473"/>
    <w:rsid w:val="005C0A5B"/>
    <w:rsid w:val="005C3420"/>
    <w:rsid w:val="005C51A7"/>
    <w:rsid w:val="005C59D3"/>
    <w:rsid w:val="005C7EBB"/>
    <w:rsid w:val="005D3B1B"/>
    <w:rsid w:val="005D492B"/>
    <w:rsid w:val="005E3CB8"/>
    <w:rsid w:val="005E51BD"/>
    <w:rsid w:val="005E5BF4"/>
    <w:rsid w:val="005E5D73"/>
    <w:rsid w:val="005F016D"/>
    <w:rsid w:val="005F1096"/>
    <w:rsid w:val="005F3AAF"/>
    <w:rsid w:val="005F4E97"/>
    <w:rsid w:val="005F6249"/>
    <w:rsid w:val="006009A4"/>
    <w:rsid w:val="00601AAE"/>
    <w:rsid w:val="00605972"/>
    <w:rsid w:val="00606F47"/>
    <w:rsid w:val="006109E1"/>
    <w:rsid w:val="0061354C"/>
    <w:rsid w:val="006142A7"/>
    <w:rsid w:val="00616757"/>
    <w:rsid w:val="00616EC2"/>
    <w:rsid w:val="006172B7"/>
    <w:rsid w:val="00620EC9"/>
    <w:rsid w:val="00622F84"/>
    <w:rsid w:val="00623074"/>
    <w:rsid w:val="00625C6A"/>
    <w:rsid w:val="0062600E"/>
    <w:rsid w:val="006306E6"/>
    <w:rsid w:val="00630DF7"/>
    <w:rsid w:val="00634324"/>
    <w:rsid w:val="00635B09"/>
    <w:rsid w:val="00636E9B"/>
    <w:rsid w:val="006403D2"/>
    <w:rsid w:val="006411CE"/>
    <w:rsid w:val="00641343"/>
    <w:rsid w:val="00642355"/>
    <w:rsid w:val="006433EB"/>
    <w:rsid w:val="00647AA7"/>
    <w:rsid w:val="00647C10"/>
    <w:rsid w:val="00650DBE"/>
    <w:rsid w:val="0065239D"/>
    <w:rsid w:val="0065351C"/>
    <w:rsid w:val="00654345"/>
    <w:rsid w:val="00655309"/>
    <w:rsid w:val="00655CFE"/>
    <w:rsid w:val="006561D8"/>
    <w:rsid w:val="00657456"/>
    <w:rsid w:val="006576DD"/>
    <w:rsid w:val="0066198E"/>
    <w:rsid w:val="00661D49"/>
    <w:rsid w:val="006638EC"/>
    <w:rsid w:val="00664CCD"/>
    <w:rsid w:val="00665228"/>
    <w:rsid w:val="0066665A"/>
    <w:rsid w:val="006675E9"/>
    <w:rsid w:val="006718E5"/>
    <w:rsid w:val="00672420"/>
    <w:rsid w:val="0067369F"/>
    <w:rsid w:val="0067716E"/>
    <w:rsid w:val="00677D5D"/>
    <w:rsid w:val="006854BF"/>
    <w:rsid w:val="0068696D"/>
    <w:rsid w:val="00692821"/>
    <w:rsid w:val="00692B4E"/>
    <w:rsid w:val="00693510"/>
    <w:rsid w:val="00693E6F"/>
    <w:rsid w:val="006945C9"/>
    <w:rsid w:val="006955F4"/>
    <w:rsid w:val="00695C47"/>
    <w:rsid w:val="006979B8"/>
    <w:rsid w:val="006A0C44"/>
    <w:rsid w:val="006A11D1"/>
    <w:rsid w:val="006A1622"/>
    <w:rsid w:val="006A1A1F"/>
    <w:rsid w:val="006A26CD"/>
    <w:rsid w:val="006A2B89"/>
    <w:rsid w:val="006A3905"/>
    <w:rsid w:val="006A4B9E"/>
    <w:rsid w:val="006A6E35"/>
    <w:rsid w:val="006A709E"/>
    <w:rsid w:val="006A79B1"/>
    <w:rsid w:val="006B25B9"/>
    <w:rsid w:val="006B36A4"/>
    <w:rsid w:val="006B456A"/>
    <w:rsid w:val="006B48CF"/>
    <w:rsid w:val="006B506A"/>
    <w:rsid w:val="006B526B"/>
    <w:rsid w:val="006B68D2"/>
    <w:rsid w:val="006C0379"/>
    <w:rsid w:val="006C27B1"/>
    <w:rsid w:val="006C2DEE"/>
    <w:rsid w:val="006C3FDA"/>
    <w:rsid w:val="006C5864"/>
    <w:rsid w:val="006C72AC"/>
    <w:rsid w:val="006D028C"/>
    <w:rsid w:val="006D12A7"/>
    <w:rsid w:val="006D26B4"/>
    <w:rsid w:val="006D5D28"/>
    <w:rsid w:val="006D60FF"/>
    <w:rsid w:val="006D77D2"/>
    <w:rsid w:val="006E19B4"/>
    <w:rsid w:val="006E1ECC"/>
    <w:rsid w:val="006E4C77"/>
    <w:rsid w:val="006F04C9"/>
    <w:rsid w:val="006F24F7"/>
    <w:rsid w:val="006F2FCD"/>
    <w:rsid w:val="006F421D"/>
    <w:rsid w:val="006F729A"/>
    <w:rsid w:val="00702E9C"/>
    <w:rsid w:val="0070321C"/>
    <w:rsid w:val="00703620"/>
    <w:rsid w:val="00707575"/>
    <w:rsid w:val="00710913"/>
    <w:rsid w:val="007139FD"/>
    <w:rsid w:val="00715476"/>
    <w:rsid w:val="007176BB"/>
    <w:rsid w:val="00717FE4"/>
    <w:rsid w:val="00720564"/>
    <w:rsid w:val="00722534"/>
    <w:rsid w:val="00724601"/>
    <w:rsid w:val="007271CC"/>
    <w:rsid w:val="0073064D"/>
    <w:rsid w:val="00730848"/>
    <w:rsid w:val="00731AE5"/>
    <w:rsid w:val="00732C96"/>
    <w:rsid w:val="007333A6"/>
    <w:rsid w:val="00734E38"/>
    <w:rsid w:val="007358AA"/>
    <w:rsid w:val="0073598A"/>
    <w:rsid w:val="00736FF4"/>
    <w:rsid w:val="00737D73"/>
    <w:rsid w:val="00737DCA"/>
    <w:rsid w:val="00737F41"/>
    <w:rsid w:val="007407CC"/>
    <w:rsid w:val="00741F1C"/>
    <w:rsid w:val="007439AB"/>
    <w:rsid w:val="0074501B"/>
    <w:rsid w:val="00745310"/>
    <w:rsid w:val="007461F6"/>
    <w:rsid w:val="00746F1D"/>
    <w:rsid w:val="00747D7E"/>
    <w:rsid w:val="007560CA"/>
    <w:rsid w:val="00757A5A"/>
    <w:rsid w:val="00761FA1"/>
    <w:rsid w:val="00765938"/>
    <w:rsid w:val="007662EF"/>
    <w:rsid w:val="00766441"/>
    <w:rsid w:val="0076678B"/>
    <w:rsid w:val="00767DE1"/>
    <w:rsid w:val="007716BC"/>
    <w:rsid w:val="00780AE3"/>
    <w:rsid w:val="00783051"/>
    <w:rsid w:val="007838FF"/>
    <w:rsid w:val="00783E6C"/>
    <w:rsid w:val="00785287"/>
    <w:rsid w:val="007855B3"/>
    <w:rsid w:val="007866BE"/>
    <w:rsid w:val="0079123D"/>
    <w:rsid w:val="00791889"/>
    <w:rsid w:val="00793756"/>
    <w:rsid w:val="0079517F"/>
    <w:rsid w:val="007A17FD"/>
    <w:rsid w:val="007A3205"/>
    <w:rsid w:val="007A35D5"/>
    <w:rsid w:val="007A5089"/>
    <w:rsid w:val="007A6A54"/>
    <w:rsid w:val="007B204C"/>
    <w:rsid w:val="007B49CD"/>
    <w:rsid w:val="007B4C9B"/>
    <w:rsid w:val="007B4EA3"/>
    <w:rsid w:val="007B58C3"/>
    <w:rsid w:val="007B60D0"/>
    <w:rsid w:val="007B7220"/>
    <w:rsid w:val="007C14BE"/>
    <w:rsid w:val="007C3B76"/>
    <w:rsid w:val="007C51C5"/>
    <w:rsid w:val="007C5F80"/>
    <w:rsid w:val="007D0076"/>
    <w:rsid w:val="007D0FF3"/>
    <w:rsid w:val="007D1218"/>
    <w:rsid w:val="007D134E"/>
    <w:rsid w:val="007D1558"/>
    <w:rsid w:val="007D19D9"/>
    <w:rsid w:val="007D3037"/>
    <w:rsid w:val="007D700A"/>
    <w:rsid w:val="007D7357"/>
    <w:rsid w:val="007D73AE"/>
    <w:rsid w:val="007E0BD4"/>
    <w:rsid w:val="007E2241"/>
    <w:rsid w:val="007E30B6"/>
    <w:rsid w:val="007E39DE"/>
    <w:rsid w:val="007E4302"/>
    <w:rsid w:val="007E5653"/>
    <w:rsid w:val="007E5730"/>
    <w:rsid w:val="007E68D5"/>
    <w:rsid w:val="007E6BBF"/>
    <w:rsid w:val="007F2595"/>
    <w:rsid w:val="007F342F"/>
    <w:rsid w:val="007F372E"/>
    <w:rsid w:val="007F5C3A"/>
    <w:rsid w:val="00800C1B"/>
    <w:rsid w:val="00801018"/>
    <w:rsid w:val="00802904"/>
    <w:rsid w:val="008029B1"/>
    <w:rsid w:val="00805BDA"/>
    <w:rsid w:val="00805C08"/>
    <w:rsid w:val="00806AEB"/>
    <w:rsid w:val="008134E2"/>
    <w:rsid w:val="00813CE6"/>
    <w:rsid w:val="00815896"/>
    <w:rsid w:val="00821A36"/>
    <w:rsid w:val="00823087"/>
    <w:rsid w:val="00823205"/>
    <w:rsid w:val="00824722"/>
    <w:rsid w:val="0082764C"/>
    <w:rsid w:val="008314CA"/>
    <w:rsid w:val="00833431"/>
    <w:rsid w:val="00833664"/>
    <w:rsid w:val="00834CAB"/>
    <w:rsid w:val="00841FDA"/>
    <w:rsid w:val="00842367"/>
    <w:rsid w:val="00842CA7"/>
    <w:rsid w:val="00842F6D"/>
    <w:rsid w:val="0084360C"/>
    <w:rsid w:val="00843999"/>
    <w:rsid w:val="00845BA2"/>
    <w:rsid w:val="00846781"/>
    <w:rsid w:val="008470E2"/>
    <w:rsid w:val="00847821"/>
    <w:rsid w:val="00851D28"/>
    <w:rsid w:val="00852BD0"/>
    <w:rsid w:val="00852F5D"/>
    <w:rsid w:val="00853E26"/>
    <w:rsid w:val="0085416F"/>
    <w:rsid w:val="00855682"/>
    <w:rsid w:val="00860E1B"/>
    <w:rsid w:val="008611CC"/>
    <w:rsid w:val="00861244"/>
    <w:rsid w:val="008612ED"/>
    <w:rsid w:val="00861C03"/>
    <w:rsid w:val="00861E06"/>
    <w:rsid w:val="0086319B"/>
    <w:rsid w:val="00864431"/>
    <w:rsid w:val="008655A2"/>
    <w:rsid w:val="00865AAC"/>
    <w:rsid w:val="00866F86"/>
    <w:rsid w:val="0087034A"/>
    <w:rsid w:val="00871EBA"/>
    <w:rsid w:val="0087231E"/>
    <w:rsid w:val="00874776"/>
    <w:rsid w:val="00875334"/>
    <w:rsid w:val="00875719"/>
    <w:rsid w:val="00875D13"/>
    <w:rsid w:val="00876B24"/>
    <w:rsid w:val="0088084D"/>
    <w:rsid w:val="0088291E"/>
    <w:rsid w:val="00883A0D"/>
    <w:rsid w:val="00883D5B"/>
    <w:rsid w:val="00884234"/>
    <w:rsid w:val="008848AD"/>
    <w:rsid w:val="00884DBF"/>
    <w:rsid w:val="00887EB6"/>
    <w:rsid w:val="00890FCF"/>
    <w:rsid w:val="00894E32"/>
    <w:rsid w:val="0089575E"/>
    <w:rsid w:val="008972EC"/>
    <w:rsid w:val="008A0322"/>
    <w:rsid w:val="008A08E3"/>
    <w:rsid w:val="008A151F"/>
    <w:rsid w:val="008A386E"/>
    <w:rsid w:val="008A615A"/>
    <w:rsid w:val="008A624C"/>
    <w:rsid w:val="008A64D0"/>
    <w:rsid w:val="008A6B03"/>
    <w:rsid w:val="008A77DF"/>
    <w:rsid w:val="008B0E6C"/>
    <w:rsid w:val="008B1506"/>
    <w:rsid w:val="008B1E67"/>
    <w:rsid w:val="008B1FD4"/>
    <w:rsid w:val="008B353A"/>
    <w:rsid w:val="008B3BB1"/>
    <w:rsid w:val="008B450F"/>
    <w:rsid w:val="008B601E"/>
    <w:rsid w:val="008B70F8"/>
    <w:rsid w:val="008B7486"/>
    <w:rsid w:val="008B7A91"/>
    <w:rsid w:val="008B7F4E"/>
    <w:rsid w:val="008C34E6"/>
    <w:rsid w:val="008C74EC"/>
    <w:rsid w:val="008D2A99"/>
    <w:rsid w:val="008D385B"/>
    <w:rsid w:val="008D4695"/>
    <w:rsid w:val="008D51D4"/>
    <w:rsid w:val="008D6813"/>
    <w:rsid w:val="008E04A7"/>
    <w:rsid w:val="008E0D78"/>
    <w:rsid w:val="008E201F"/>
    <w:rsid w:val="008E5E0F"/>
    <w:rsid w:val="008E71C2"/>
    <w:rsid w:val="008F3643"/>
    <w:rsid w:val="008F4FD0"/>
    <w:rsid w:val="009006F1"/>
    <w:rsid w:val="0090105B"/>
    <w:rsid w:val="00904EA2"/>
    <w:rsid w:val="00911599"/>
    <w:rsid w:val="009132CB"/>
    <w:rsid w:val="00914E18"/>
    <w:rsid w:val="00915421"/>
    <w:rsid w:val="0091658C"/>
    <w:rsid w:val="00917A30"/>
    <w:rsid w:val="00920B8C"/>
    <w:rsid w:val="009216F9"/>
    <w:rsid w:val="009222AB"/>
    <w:rsid w:val="0092684B"/>
    <w:rsid w:val="009311F3"/>
    <w:rsid w:val="00931487"/>
    <w:rsid w:val="00932155"/>
    <w:rsid w:val="00935154"/>
    <w:rsid w:val="00937778"/>
    <w:rsid w:val="00937DBF"/>
    <w:rsid w:val="00937E70"/>
    <w:rsid w:val="0094065A"/>
    <w:rsid w:val="0094156F"/>
    <w:rsid w:val="00945D74"/>
    <w:rsid w:val="00947EAE"/>
    <w:rsid w:val="00950B5B"/>
    <w:rsid w:val="00951776"/>
    <w:rsid w:val="009553B2"/>
    <w:rsid w:val="00955547"/>
    <w:rsid w:val="009570AD"/>
    <w:rsid w:val="0095735B"/>
    <w:rsid w:val="009579A6"/>
    <w:rsid w:val="00960B76"/>
    <w:rsid w:val="00961186"/>
    <w:rsid w:val="00963755"/>
    <w:rsid w:val="00970A53"/>
    <w:rsid w:val="00972376"/>
    <w:rsid w:val="009771A4"/>
    <w:rsid w:val="00980F08"/>
    <w:rsid w:val="009820AB"/>
    <w:rsid w:val="00984C54"/>
    <w:rsid w:val="009851E3"/>
    <w:rsid w:val="00987777"/>
    <w:rsid w:val="00987788"/>
    <w:rsid w:val="009908AB"/>
    <w:rsid w:val="00990CAD"/>
    <w:rsid w:val="00991A72"/>
    <w:rsid w:val="00991C08"/>
    <w:rsid w:val="00992875"/>
    <w:rsid w:val="00993E9B"/>
    <w:rsid w:val="00995B7E"/>
    <w:rsid w:val="009969E1"/>
    <w:rsid w:val="009971EA"/>
    <w:rsid w:val="009A07CB"/>
    <w:rsid w:val="009A16C8"/>
    <w:rsid w:val="009A5414"/>
    <w:rsid w:val="009A6A58"/>
    <w:rsid w:val="009B04B9"/>
    <w:rsid w:val="009B093C"/>
    <w:rsid w:val="009B4140"/>
    <w:rsid w:val="009B4E68"/>
    <w:rsid w:val="009B5351"/>
    <w:rsid w:val="009C1B01"/>
    <w:rsid w:val="009C5EBE"/>
    <w:rsid w:val="009C6FD0"/>
    <w:rsid w:val="009C70C7"/>
    <w:rsid w:val="009C729C"/>
    <w:rsid w:val="009D0D6F"/>
    <w:rsid w:val="009D4893"/>
    <w:rsid w:val="009D4E20"/>
    <w:rsid w:val="009E07C8"/>
    <w:rsid w:val="009E5A8B"/>
    <w:rsid w:val="009E628C"/>
    <w:rsid w:val="009E7FB8"/>
    <w:rsid w:val="009F1859"/>
    <w:rsid w:val="009F3EB1"/>
    <w:rsid w:val="00A00339"/>
    <w:rsid w:val="00A00B4C"/>
    <w:rsid w:val="00A02283"/>
    <w:rsid w:val="00A025FA"/>
    <w:rsid w:val="00A03963"/>
    <w:rsid w:val="00A06738"/>
    <w:rsid w:val="00A10BC3"/>
    <w:rsid w:val="00A178EB"/>
    <w:rsid w:val="00A21326"/>
    <w:rsid w:val="00A23173"/>
    <w:rsid w:val="00A231AB"/>
    <w:rsid w:val="00A2439E"/>
    <w:rsid w:val="00A26E72"/>
    <w:rsid w:val="00A30FB0"/>
    <w:rsid w:val="00A3193E"/>
    <w:rsid w:val="00A334B2"/>
    <w:rsid w:val="00A34411"/>
    <w:rsid w:val="00A34440"/>
    <w:rsid w:val="00A378C3"/>
    <w:rsid w:val="00A40271"/>
    <w:rsid w:val="00A4045F"/>
    <w:rsid w:val="00A416EE"/>
    <w:rsid w:val="00A4195F"/>
    <w:rsid w:val="00A4266A"/>
    <w:rsid w:val="00A43466"/>
    <w:rsid w:val="00A456E9"/>
    <w:rsid w:val="00A466B0"/>
    <w:rsid w:val="00A504B0"/>
    <w:rsid w:val="00A50B3C"/>
    <w:rsid w:val="00A57D8E"/>
    <w:rsid w:val="00A6144E"/>
    <w:rsid w:val="00A63721"/>
    <w:rsid w:val="00A6458D"/>
    <w:rsid w:val="00A649CC"/>
    <w:rsid w:val="00A66478"/>
    <w:rsid w:val="00A6765A"/>
    <w:rsid w:val="00A701A8"/>
    <w:rsid w:val="00A70CDE"/>
    <w:rsid w:val="00A71E6B"/>
    <w:rsid w:val="00A727B4"/>
    <w:rsid w:val="00A73FFB"/>
    <w:rsid w:val="00A75B26"/>
    <w:rsid w:val="00A7700C"/>
    <w:rsid w:val="00A801F9"/>
    <w:rsid w:val="00A824F7"/>
    <w:rsid w:val="00A83755"/>
    <w:rsid w:val="00A83C51"/>
    <w:rsid w:val="00A844A0"/>
    <w:rsid w:val="00A84DDA"/>
    <w:rsid w:val="00A85FE3"/>
    <w:rsid w:val="00A91442"/>
    <w:rsid w:val="00A918B9"/>
    <w:rsid w:val="00A91CBE"/>
    <w:rsid w:val="00A925FF"/>
    <w:rsid w:val="00A92FB1"/>
    <w:rsid w:val="00A95936"/>
    <w:rsid w:val="00A967F8"/>
    <w:rsid w:val="00AA1968"/>
    <w:rsid w:val="00AA2A10"/>
    <w:rsid w:val="00AA326A"/>
    <w:rsid w:val="00AA6957"/>
    <w:rsid w:val="00AA6AEE"/>
    <w:rsid w:val="00AA76AD"/>
    <w:rsid w:val="00AB099D"/>
    <w:rsid w:val="00AB0E83"/>
    <w:rsid w:val="00AB1AA7"/>
    <w:rsid w:val="00AB3A71"/>
    <w:rsid w:val="00AB6423"/>
    <w:rsid w:val="00AC035B"/>
    <w:rsid w:val="00AC04C4"/>
    <w:rsid w:val="00AC0F1B"/>
    <w:rsid w:val="00AC3B9F"/>
    <w:rsid w:val="00AC42FF"/>
    <w:rsid w:val="00AC50AE"/>
    <w:rsid w:val="00AC5F64"/>
    <w:rsid w:val="00AC69E2"/>
    <w:rsid w:val="00AC7215"/>
    <w:rsid w:val="00AC7669"/>
    <w:rsid w:val="00AD00BC"/>
    <w:rsid w:val="00AD2D49"/>
    <w:rsid w:val="00AD47F0"/>
    <w:rsid w:val="00AD7C44"/>
    <w:rsid w:val="00AE07CB"/>
    <w:rsid w:val="00AE27F2"/>
    <w:rsid w:val="00AE2A09"/>
    <w:rsid w:val="00AE3E07"/>
    <w:rsid w:val="00AE510F"/>
    <w:rsid w:val="00AE78ED"/>
    <w:rsid w:val="00AF406B"/>
    <w:rsid w:val="00AF5D2D"/>
    <w:rsid w:val="00AF7091"/>
    <w:rsid w:val="00B018CF"/>
    <w:rsid w:val="00B04743"/>
    <w:rsid w:val="00B0600C"/>
    <w:rsid w:val="00B11736"/>
    <w:rsid w:val="00B20B7F"/>
    <w:rsid w:val="00B22084"/>
    <w:rsid w:val="00B23324"/>
    <w:rsid w:val="00B236B0"/>
    <w:rsid w:val="00B23D5E"/>
    <w:rsid w:val="00B25ED1"/>
    <w:rsid w:val="00B26FC9"/>
    <w:rsid w:val="00B27143"/>
    <w:rsid w:val="00B27851"/>
    <w:rsid w:val="00B27918"/>
    <w:rsid w:val="00B32E00"/>
    <w:rsid w:val="00B432C1"/>
    <w:rsid w:val="00B46944"/>
    <w:rsid w:val="00B52214"/>
    <w:rsid w:val="00B5299E"/>
    <w:rsid w:val="00B52D45"/>
    <w:rsid w:val="00B533C9"/>
    <w:rsid w:val="00B55265"/>
    <w:rsid w:val="00B57062"/>
    <w:rsid w:val="00B57C2C"/>
    <w:rsid w:val="00B60AA0"/>
    <w:rsid w:val="00B61673"/>
    <w:rsid w:val="00B64FE8"/>
    <w:rsid w:val="00B65DB2"/>
    <w:rsid w:val="00B669D2"/>
    <w:rsid w:val="00B73837"/>
    <w:rsid w:val="00B75FB9"/>
    <w:rsid w:val="00B775AE"/>
    <w:rsid w:val="00B80577"/>
    <w:rsid w:val="00B813ED"/>
    <w:rsid w:val="00B81F1B"/>
    <w:rsid w:val="00B82204"/>
    <w:rsid w:val="00B82545"/>
    <w:rsid w:val="00B82D80"/>
    <w:rsid w:val="00B85E5C"/>
    <w:rsid w:val="00B902F3"/>
    <w:rsid w:val="00B90847"/>
    <w:rsid w:val="00B92A0F"/>
    <w:rsid w:val="00BA1599"/>
    <w:rsid w:val="00BA397F"/>
    <w:rsid w:val="00BA7195"/>
    <w:rsid w:val="00BB0108"/>
    <w:rsid w:val="00BB1073"/>
    <w:rsid w:val="00BB344E"/>
    <w:rsid w:val="00BB5183"/>
    <w:rsid w:val="00BB6112"/>
    <w:rsid w:val="00BB657F"/>
    <w:rsid w:val="00BB6985"/>
    <w:rsid w:val="00BB6A46"/>
    <w:rsid w:val="00BB7E35"/>
    <w:rsid w:val="00BC15E8"/>
    <w:rsid w:val="00BC2BAA"/>
    <w:rsid w:val="00BC6490"/>
    <w:rsid w:val="00BC68D8"/>
    <w:rsid w:val="00BD0876"/>
    <w:rsid w:val="00BD0E92"/>
    <w:rsid w:val="00BD22DF"/>
    <w:rsid w:val="00BE07F8"/>
    <w:rsid w:val="00BE5B5F"/>
    <w:rsid w:val="00BE6359"/>
    <w:rsid w:val="00BE7106"/>
    <w:rsid w:val="00BF3FA0"/>
    <w:rsid w:val="00BF4333"/>
    <w:rsid w:val="00BF5E1A"/>
    <w:rsid w:val="00BF6E35"/>
    <w:rsid w:val="00BF7788"/>
    <w:rsid w:val="00C04DD6"/>
    <w:rsid w:val="00C04E20"/>
    <w:rsid w:val="00C057FC"/>
    <w:rsid w:val="00C0747D"/>
    <w:rsid w:val="00C11F67"/>
    <w:rsid w:val="00C12964"/>
    <w:rsid w:val="00C16CAD"/>
    <w:rsid w:val="00C21A97"/>
    <w:rsid w:val="00C24EB7"/>
    <w:rsid w:val="00C26ADB"/>
    <w:rsid w:val="00C27828"/>
    <w:rsid w:val="00C30441"/>
    <w:rsid w:val="00C306C1"/>
    <w:rsid w:val="00C30E50"/>
    <w:rsid w:val="00C32D4F"/>
    <w:rsid w:val="00C34BD3"/>
    <w:rsid w:val="00C35CCA"/>
    <w:rsid w:val="00C36C62"/>
    <w:rsid w:val="00C40F8B"/>
    <w:rsid w:val="00C42AC1"/>
    <w:rsid w:val="00C447A0"/>
    <w:rsid w:val="00C502CB"/>
    <w:rsid w:val="00C51557"/>
    <w:rsid w:val="00C53FA0"/>
    <w:rsid w:val="00C55265"/>
    <w:rsid w:val="00C55989"/>
    <w:rsid w:val="00C56AF7"/>
    <w:rsid w:val="00C57F17"/>
    <w:rsid w:val="00C614EB"/>
    <w:rsid w:val="00C619C5"/>
    <w:rsid w:val="00C62B50"/>
    <w:rsid w:val="00C65466"/>
    <w:rsid w:val="00C67965"/>
    <w:rsid w:val="00C70B0D"/>
    <w:rsid w:val="00C7135A"/>
    <w:rsid w:val="00C729DC"/>
    <w:rsid w:val="00C73DAF"/>
    <w:rsid w:val="00C76D47"/>
    <w:rsid w:val="00C778EA"/>
    <w:rsid w:val="00C80F7F"/>
    <w:rsid w:val="00C82F71"/>
    <w:rsid w:val="00C846F2"/>
    <w:rsid w:val="00C901D2"/>
    <w:rsid w:val="00C909B2"/>
    <w:rsid w:val="00C923FC"/>
    <w:rsid w:val="00C93632"/>
    <w:rsid w:val="00C93DD3"/>
    <w:rsid w:val="00C97564"/>
    <w:rsid w:val="00C979FD"/>
    <w:rsid w:val="00CA01C8"/>
    <w:rsid w:val="00CA3370"/>
    <w:rsid w:val="00CA5478"/>
    <w:rsid w:val="00CB2793"/>
    <w:rsid w:val="00CB27F4"/>
    <w:rsid w:val="00CB32D4"/>
    <w:rsid w:val="00CB5016"/>
    <w:rsid w:val="00CB686D"/>
    <w:rsid w:val="00CC1DDA"/>
    <w:rsid w:val="00CC2787"/>
    <w:rsid w:val="00CC29B0"/>
    <w:rsid w:val="00CC3A02"/>
    <w:rsid w:val="00CC3D4F"/>
    <w:rsid w:val="00CC3F7E"/>
    <w:rsid w:val="00CD04F2"/>
    <w:rsid w:val="00CD31EF"/>
    <w:rsid w:val="00CD4AE7"/>
    <w:rsid w:val="00CD5BE7"/>
    <w:rsid w:val="00CE0484"/>
    <w:rsid w:val="00CE3B6A"/>
    <w:rsid w:val="00CE53D8"/>
    <w:rsid w:val="00CE63B2"/>
    <w:rsid w:val="00CE6EE0"/>
    <w:rsid w:val="00CE7249"/>
    <w:rsid w:val="00CE7EAC"/>
    <w:rsid w:val="00CF1C8B"/>
    <w:rsid w:val="00CF2759"/>
    <w:rsid w:val="00CF457B"/>
    <w:rsid w:val="00CF6322"/>
    <w:rsid w:val="00CF7360"/>
    <w:rsid w:val="00CF77B6"/>
    <w:rsid w:val="00CF7D4E"/>
    <w:rsid w:val="00D02DE4"/>
    <w:rsid w:val="00D07B54"/>
    <w:rsid w:val="00D07C30"/>
    <w:rsid w:val="00D1149A"/>
    <w:rsid w:val="00D11CB1"/>
    <w:rsid w:val="00D13023"/>
    <w:rsid w:val="00D14256"/>
    <w:rsid w:val="00D14D1D"/>
    <w:rsid w:val="00D1572E"/>
    <w:rsid w:val="00D20B46"/>
    <w:rsid w:val="00D21D43"/>
    <w:rsid w:val="00D22A4C"/>
    <w:rsid w:val="00D24F15"/>
    <w:rsid w:val="00D25364"/>
    <w:rsid w:val="00D30345"/>
    <w:rsid w:val="00D32E3B"/>
    <w:rsid w:val="00D32F6A"/>
    <w:rsid w:val="00D342AE"/>
    <w:rsid w:val="00D34980"/>
    <w:rsid w:val="00D353D1"/>
    <w:rsid w:val="00D40D1C"/>
    <w:rsid w:val="00D41446"/>
    <w:rsid w:val="00D4248B"/>
    <w:rsid w:val="00D44140"/>
    <w:rsid w:val="00D44B92"/>
    <w:rsid w:val="00D4619B"/>
    <w:rsid w:val="00D47EE7"/>
    <w:rsid w:val="00D51FFB"/>
    <w:rsid w:val="00D54E35"/>
    <w:rsid w:val="00D55906"/>
    <w:rsid w:val="00D5762E"/>
    <w:rsid w:val="00D604D0"/>
    <w:rsid w:val="00D61AB0"/>
    <w:rsid w:val="00D61CC4"/>
    <w:rsid w:val="00D6235C"/>
    <w:rsid w:val="00D62937"/>
    <w:rsid w:val="00D63B39"/>
    <w:rsid w:val="00D6563A"/>
    <w:rsid w:val="00D70A67"/>
    <w:rsid w:val="00D72686"/>
    <w:rsid w:val="00D73A5D"/>
    <w:rsid w:val="00D73CF0"/>
    <w:rsid w:val="00D76887"/>
    <w:rsid w:val="00D77467"/>
    <w:rsid w:val="00D77B08"/>
    <w:rsid w:val="00D77E3C"/>
    <w:rsid w:val="00D80C6C"/>
    <w:rsid w:val="00D82BB3"/>
    <w:rsid w:val="00D83B8C"/>
    <w:rsid w:val="00D855C0"/>
    <w:rsid w:val="00D86ABF"/>
    <w:rsid w:val="00D914D0"/>
    <w:rsid w:val="00D94210"/>
    <w:rsid w:val="00D94EE8"/>
    <w:rsid w:val="00D9575C"/>
    <w:rsid w:val="00DA0296"/>
    <w:rsid w:val="00DA0865"/>
    <w:rsid w:val="00DA167D"/>
    <w:rsid w:val="00DA62EB"/>
    <w:rsid w:val="00DB234A"/>
    <w:rsid w:val="00DB2979"/>
    <w:rsid w:val="00DB2F0A"/>
    <w:rsid w:val="00DB4A39"/>
    <w:rsid w:val="00DC0FD4"/>
    <w:rsid w:val="00DC5ACA"/>
    <w:rsid w:val="00DC665C"/>
    <w:rsid w:val="00DC7611"/>
    <w:rsid w:val="00DD0F13"/>
    <w:rsid w:val="00DD51B9"/>
    <w:rsid w:val="00DE01D9"/>
    <w:rsid w:val="00DE0FFD"/>
    <w:rsid w:val="00DE4456"/>
    <w:rsid w:val="00DE50F5"/>
    <w:rsid w:val="00DE5A94"/>
    <w:rsid w:val="00DE69CF"/>
    <w:rsid w:val="00E0097C"/>
    <w:rsid w:val="00E0133A"/>
    <w:rsid w:val="00E01BA2"/>
    <w:rsid w:val="00E02357"/>
    <w:rsid w:val="00E02FD4"/>
    <w:rsid w:val="00E161A7"/>
    <w:rsid w:val="00E201BC"/>
    <w:rsid w:val="00E20D88"/>
    <w:rsid w:val="00E24BC1"/>
    <w:rsid w:val="00E255ED"/>
    <w:rsid w:val="00E25EDB"/>
    <w:rsid w:val="00E26C42"/>
    <w:rsid w:val="00E30E51"/>
    <w:rsid w:val="00E31A2B"/>
    <w:rsid w:val="00E31C49"/>
    <w:rsid w:val="00E32228"/>
    <w:rsid w:val="00E3243D"/>
    <w:rsid w:val="00E32C07"/>
    <w:rsid w:val="00E33389"/>
    <w:rsid w:val="00E33B2F"/>
    <w:rsid w:val="00E42A8D"/>
    <w:rsid w:val="00E45DA8"/>
    <w:rsid w:val="00E460F9"/>
    <w:rsid w:val="00E507CC"/>
    <w:rsid w:val="00E5454D"/>
    <w:rsid w:val="00E55098"/>
    <w:rsid w:val="00E566FA"/>
    <w:rsid w:val="00E600A3"/>
    <w:rsid w:val="00E60D19"/>
    <w:rsid w:val="00E615DC"/>
    <w:rsid w:val="00E625BD"/>
    <w:rsid w:val="00E66838"/>
    <w:rsid w:val="00E67080"/>
    <w:rsid w:val="00E720E3"/>
    <w:rsid w:val="00E72CFA"/>
    <w:rsid w:val="00E7466F"/>
    <w:rsid w:val="00E8044A"/>
    <w:rsid w:val="00E80BB6"/>
    <w:rsid w:val="00E8646A"/>
    <w:rsid w:val="00E906BC"/>
    <w:rsid w:val="00E932A6"/>
    <w:rsid w:val="00E94167"/>
    <w:rsid w:val="00E96224"/>
    <w:rsid w:val="00E971E3"/>
    <w:rsid w:val="00E97841"/>
    <w:rsid w:val="00EA480B"/>
    <w:rsid w:val="00EB0E14"/>
    <w:rsid w:val="00EB18CB"/>
    <w:rsid w:val="00EB262E"/>
    <w:rsid w:val="00EB53DC"/>
    <w:rsid w:val="00EB5AA1"/>
    <w:rsid w:val="00EB5D96"/>
    <w:rsid w:val="00EB6369"/>
    <w:rsid w:val="00EB6F77"/>
    <w:rsid w:val="00EC2208"/>
    <w:rsid w:val="00EC2BE8"/>
    <w:rsid w:val="00EC3C63"/>
    <w:rsid w:val="00EC7443"/>
    <w:rsid w:val="00ED1735"/>
    <w:rsid w:val="00ED3939"/>
    <w:rsid w:val="00ED4188"/>
    <w:rsid w:val="00ED4E7B"/>
    <w:rsid w:val="00ED5249"/>
    <w:rsid w:val="00ED5BE5"/>
    <w:rsid w:val="00ED6420"/>
    <w:rsid w:val="00EE1C2D"/>
    <w:rsid w:val="00EE774D"/>
    <w:rsid w:val="00EF0E3B"/>
    <w:rsid w:val="00EF175B"/>
    <w:rsid w:val="00EF5544"/>
    <w:rsid w:val="00EF5E3B"/>
    <w:rsid w:val="00EF6315"/>
    <w:rsid w:val="00F000EA"/>
    <w:rsid w:val="00F004D7"/>
    <w:rsid w:val="00F00625"/>
    <w:rsid w:val="00F0178D"/>
    <w:rsid w:val="00F01C01"/>
    <w:rsid w:val="00F0243C"/>
    <w:rsid w:val="00F03EC3"/>
    <w:rsid w:val="00F04353"/>
    <w:rsid w:val="00F05646"/>
    <w:rsid w:val="00F05AA9"/>
    <w:rsid w:val="00F06B38"/>
    <w:rsid w:val="00F076B6"/>
    <w:rsid w:val="00F105A0"/>
    <w:rsid w:val="00F14541"/>
    <w:rsid w:val="00F15E3A"/>
    <w:rsid w:val="00F17B30"/>
    <w:rsid w:val="00F20803"/>
    <w:rsid w:val="00F20932"/>
    <w:rsid w:val="00F2172C"/>
    <w:rsid w:val="00F220A3"/>
    <w:rsid w:val="00F23A4F"/>
    <w:rsid w:val="00F2540E"/>
    <w:rsid w:val="00F27815"/>
    <w:rsid w:val="00F3200C"/>
    <w:rsid w:val="00F323FE"/>
    <w:rsid w:val="00F327C6"/>
    <w:rsid w:val="00F32AB5"/>
    <w:rsid w:val="00F36698"/>
    <w:rsid w:val="00F36C04"/>
    <w:rsid w:val="00F37B9E"/>
    <w:rsid w:val="00F42BD3"/>
    <w:rsid w:val="00F463D8"/>
    <w:rsid w:val="00F50AE5"/>
    <w:rsid w:val="00F50B6E"/>
    <w:rsid w:val="00F51C78"/>
    <w:rsid w:val="00F5280E"/>
    <w:rsid w:val="00F53E15"/>
    <w:rsid w:val="00F53ED4"/>
    <w:rsid w:val="00F54224"/>
    <w:rsid w:val="00F546F1"/>
    <w:rsid w:val="00F57AC8"/>
    <w:rsid w:val="00F57B90"/>
    <w:rsid w:val="00F61DDF"/>
    <w:rsid w:val="00F634CC"/>
    <w:rsid w:val="00F64618"/>
    <w:rsid w:val="00F70389"/>
    <w:rsid w:val="00F71D9C"/>
    <w:rsid w:val="00F737C7"/>
    <w:rsid w:val="00F74F6E"/>
    <w:rsid w:val="00F816EA"/>
    <w:rsid w:val="00F84480"/>
    <w:rsid w:val="00F85EF0"/>
    <w:rsid w:val="00F8610F"/>
    <w:rsid w:val="00F86160"/>
    <w:rsid w:val="00F95356"/>
    <w:rsid w:val="00FA2EDF"/>
    <w:rsid w:val="00FA466D"/>
    <w:rsid w:val="00FA52A2"/>
    <w:rsid w:val="00FA5E1F"/>
    <w:rsid w:val="00FA7D1D"/>
    <w:rsid w:val="00FA7D4B"/>
    <w:rsid w:val="00FB1152"/>
    <w:rsid w:val="00FB1758"/>
    <w:rsid w:val="00FB2192"/>
    <w:rsid w:val="00FB2BAB"/>
    <w:rsid w:val="00FB46FB"/>
    <w:rsid w:val="00FB6946"/>
    <w:rsid w:val="00FB7DEB"/>
    <w:rsid w:val="00FB7EF8"/>
    <w:rsid w:val="00FC1DDF"/>
    <w:rsid w:val="00FC23BB"/>
    <w:rsid w:val="00FC359F"/>
    <w:rsid w:val="00FC639D"/>
    <w:rsid w:val="00FC7CA1"/>
    <w:rsid w:val="00FD08E9"/>
    <w:rsid w:val="00FD1F80"/>
    <w:rsid w:val="00FD44D0"/>
    <w:rsid w:val="00FD44E9"/>
    <w:rsid w:val="00FD4F68"/>
    <w:rsid w:val="00FD5BF3"/>
    <w:rsid w:val="00FD6C11"/>
    <w:rsid w:val="00FE1113"/>
    <w:rsid w:val="00FE276C"/>
    <w:rsid w:val="00FE2E08"/>
    <w:rsid w:val="00FE3C50"/>
    <w:rsid w:val="00FF0C68"/>
    <w:rsid w:val="00FF18A1"/>
    <w:rsid w:val="00FF2707"/>
    <w:rsid w:val="00FF4596"/>
    <w:rsid w:val="00FF4684"/>
    <w:rsid w:val="00FF5C1B"/>
    <w:rsid w:val="00FF6982"/>
    <w:rsid w:val="00FF6EC9"/>
    <w:rsid w:val="0F4A4BAB"/>
    <w:rsid w:val="129082A5"/>
    <w:rsid w:val="1813EEBC"/>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EB07DD35-92E4-4E94-B99A-6C9492064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link w:val="NOChar"/>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TableGrid"/>
    <w:basedOn w:val="TableNormal"/>
    <w:uiPriority w:val="39"/>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qFormat/>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qFormat/>
    <w:rsid w:val="00010E35"/>
    <w:rPr>
      <w:b/>
    </w:rPr>
  </w:style>
  <w:style w:type="character" w:customStyle="1" w:styleId="TAHCar">
    <w:name w:val="TAH Car"/>
    <w:link w:val="TAH"/>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nhideWhenUsed/>
    <w:rsid w:val="0053201B"/>
    <w:pPr>
      <w:tabs>
        <w:tab w:val="center" w:pos="4680"/>
        <w:tab w:val="right" w:pos="9360"/>
      </w:tabs>
      <w:spacing w:after="0"/>
    </w:pPr>
  </w:style>
  <w:style w:type="character" w:customStyle="1" w:styleId="HeaderChar">
    <w:name w:val="Header Char"/>
    <w:basedOn w:val="DefaultParagraphFont"/>
    <w:link w:val="Header"/>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060652"/>
    <w:rPr>
      <w:color w:val="666666"/>
    </w:rPr>
  </w:style>
  <w:style w:type="character" w:customStyle="1" w:styleId="Tabletext0">
    <w:name w:val="Table_text (文字)"/>
    <w:rsid w:val="00D30345"/>
    <w:rPr>
      <w:rFonts w:ascii="Times New Roman" w:hAnsi="Times New Roman"/>
      <w:lang w:val="en-GB" w:eastAsia="en-US"/>
    </w:rPr>
  </w:style>
  <w:style w:type="paragraph" w:customStyle="1" w:styleId="RAN4proposal">
    <w:name w:val="RAN4 proposal"/>
    <w:basedOn w:val="Caption"/>
    <w:next w:val="Normal"/>
    <w:link w:val="RAN4proposalChar"/>
    <w:qFormat/>
    <w:rsid w:val="001A7111"/>
    <w:pPr>
      <w:numPr>
        <w:numId w:val="15"/>
      </w:numPr>
      <w:spacing w:after="200"/>
      <w:ind w:left="0" w:firstLine="0"/>
    </w:pPr>
    <w:rPr>
      <w:rFonts w:eastAsiaTheme="minorHAnsi" w:cstheme="minorBidi"/>
      <w:bCs w:val="0"/>
      <w:iCs/>
      <w:szCs w:val="18"/>
      <w:lang w:val="en-US" w:eastAsia="en-US"/>
    </w:rPr>
  </w:style>
  <w:style w:type="character" w:customStyle="1" w:styleId="RAN4proposalChar">
    <w:name w:val="RAN4 proposal Char"/>
    <w:basedOn w:val="DefaultParagraphFont"/>
    <w:link w:val="RAN4proposal"/>
    <w:rsid w:val="001A7111"/>
    <w:rPr>
      <w:rFonts w:ascii="Times New Roman" w:hAnsi="Times New Roman"/>
      <w:b/>
      <w:iCs/>
      <w:kern w:val="0"/>
      <w:sz w:val="20"/>
      <w:szCs w:val="18"/>
      <w14:ligatures w14:val="none"/>
    </w:rPr>
  </w:style>
  <w:style w:type="character" w:customStyle="1" w:styleId="TALCar">
    <w:name w:val="TAL Car"/>
    <w:link w:val="TAL"/>
    <w:qFormat/>
    <w:locked/>
    <w:rsid w:val="002C4959"/>
    <w:rPr>
      <w:rFonts w:ascii="Arial" w:hAnsi="Arial" w:cs="Arial"/>
      <w:sz w:val="18"/>
    </w:rPr>
  </w:style>
  <w:style w:type="paragraph" w:customStyle="1" w:styleId="TAL">
    <w:name w:val="TAL"/>
    <w:basedOn w:val="Normal"/>
    <w:link w:val="TALCar"/>
    <w:qFormat/>
    <w:rsid w:val="002C4959"/>
    <w:pPr>
      <w:keepNext/>
      <w:keepLines/>
      <w:spacing w:after="0"/>
    </w:pPr>
    <w:rPr>
      <w:rFonts w:ascii="Arial" w:eastAsiaTheme="minorHAnsi" w:hAnsi="Arial" w:cs="Arial"/>
      <w:kern w:val="2"/>
      <w:sz w:val="18"/>
      <w:szCs w:val="22"/>
      <w:lang w:val="en-US" w:eastAsia="en-US"/>
      <w14:ligatures w14:val="standardContextual"/>
    </w:rPr>
  </w:style>
  <w:style w:type="paragraph" w:customStyle="1" w:styleId="TH">
    <w:name w:val="TH"/>
    <w:basedOn w:val="Normal"/>
    <w:link w:val="THChar"/>
    <w:qFormat/>
    <w:rsid w:val="002C495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C4959"/>
    <w:rPr>
      <w:rFonts w:ascii="Arial" w:eastAsia="Times New Roman" w:hAnsi="Arial" w:cs="Times New Roman"/>
      <w:b/>
      <w:kern w:val="0"/>
      <w:sz w:val="20"/>
      <w:szCs w:val="20"/>
      <w:lang w:val="en-GB" w:eastAsia="en-GB"/>
      <w14:ligatures w14:val="none"/>
    </w:rPr>
  </w:style>
  <w:style w:type="character" w:customStyle="1" w:styleId="NOChar">
    <w:name w:val="NO Char"/>
    <w:link w:val="NO"/>
    <w:qFormat/>
    <w:rsid w:val="00806AEB"/>
    <w:rPr>
      <w:rFonts w:ascii="Times New Roman" w:eastAsia="Times New Roman" w:hAnsi="Times New Roman" w:cs="Times New Roman"/>
      <w:kern w:val="0"/>
      <w:sz w:val="20"/>
      <w:szCs w:val="20"/>
      <w:lang w:val="en-GB" w:eastAsia="ko-KR"/>
      <w14:ligatures w14:val="none"/>
    </w:rPr>
  </w:style>
  <w:style w:type="paragraph" w:styleId="BodyText">
    <w:name w:val="Body Text"/>
    <w:basedOn w:val="Normal"/>
    <w:link w:val="BodyTextChar"/>
    <w:uiPriority w:val="99"/>
    <w:rsid w:val="00452D8D"/>
    <w:pPr>
      <w:spacing w:after="120"/>
    </w:pPr>
    <w:rPr>
      <w:lang w:eastAsia="en-US"/>
    </w:rPr>
  </w:style>
  <w:style w:type="character" w:customStyle="1" w:styleId="BodyTextChar">
    <w:name w:val="Body Text Char"/>
    <w:basedOn w:val="DefaultParagraphFont"/>
    <w:link w:val="BodyText"/>
    <w:uiPriority w:val="99"/>
    <w:rsid w:val="00452D8D"/>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6862">
      <w:bodyDiv w:val="1"/>
      <w:marLeft w:val="0"/>
      <w:marRight w:val="0"/>
      <w:marTop w:val="0"/>
      <w:marBottom w:val="0"/>
      <w:divBdr>
        <w:top w:val="none" w:sz="0" w:space="0" w:color="auto"/>
        <w:left w:val="none" w:sz="0" w:space="0" w:color="auto"/>
        <w:bottom w:val="none" w:sz="0" w:space="0" w:color="auto"/>
        <w:right w:val="none" w:sz="0" w:space="0" w:color="auto"/>
      </w:divBdr>
      <w:divsChild>
        <w:div w:id="743527420">
          <w:marLeft w:val="274"/>
          <w:marRight w:val="0"/>
          <w:marTop w:val="0"/>
          <w:marBottom w:val="0"/>
          <w:divBdr>
            <w:top w:val="none" w:sz="0" w:space="0" w:color="auto"/>
            <w:left w:val="none" w:sz="0" w:space="0" w:color="auto"/>
            <w:bottom w:val="none" w:sz="0" w:space="0" w:color="auto"/>
            <w:right w:val="none" w:sz="0" w:space="0" w:color="auto"/>
          </w:divBdr>
        </w:div>
      </w:divsChild>
    </w:div>
    <w:div w:id="157307895">
      <w:bodyDiv w:val="1"/>
      <w:marLeft w:val="0"/>
      <w:marRight w:val="0"/>
      <w:marTop w:val="0"/>
      <w:marBottom w:val="0"/>
      <w:divBdr>
        <w:top w:val="none" w:sz="0" w:space="0" w:color="auto"/>
        <w:left w:val="none" w:sz="0" w:space="0" w:color="auto"/>
        <w:bottom w:val="none" w:sz="0" w:space="0" w:color="auto"/>
        <w:right w:val="none" w:sz="0" w:space="0" w:color="auto"/>
      </w:divBdr>
    </w:div>
    <w:div w:id="201599834">
      <w:bodyDiv w:val="1"/>
      <w:marLeft w:val="0"/>
      <w:marRight w:val="0"/>
      <w:marTop w:val="0"/>
      <w:marBottom w:val="0"/>
      <w:divBdr>
        <w:top w:val="none" w:sz="0" w:space="0" w:color="auto"/>
        <w:left w:val="none" w:sz="0" w:space="0" w:color="auto"/>
        <w:bottom w:val="none" w:sz="0" w:space="0" w:color="auto"/>
        <w:right w:val="none" w:sz="0" w:space="0" w:color="auto"/>
      </w:divBdr>
    </w:div>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758733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14344312">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694962844">
      <w:bodyDiv w:val="1"/>
      <w:marLeft w:val="0"/>
      <w:marRight w:val="0"/>
      <w:marTop w:val="0"/>
      <w:marBottom w:val="0"/>
      <w:divBdr>
        <w:top w:val="none" w:sz="0" w:space="0" w:color="auto"/>
        <w:left w:val="none" w:sz="0" w:space="0" w:color="auto"/>
        <w:bottom w:val="none" w:sz="0" w:space="0" w:color="auto"/>
        <w:right w:val="none" w:sz="0" w:space="0" w:color="auto"/>
      </w:divBdr>
    </w:div>
    <w:div w:id="721631752">
      <w:bodyDiv w:val="1"/>
      <w:marLeft w:val="0"/>
      <w:marRight w:val="0"/>
      <w:marTop w:val="0"/>
      <w:marBottom w:val="0"/>
      <w:divBdr>
        <w:top w:val="none" w:sz="0" w:space="0" w:color="auto"/>
        <w:left w:val="none" w:sz="0" w:space="0" w:color="auto"/>
        <w:bottom w:val="none" w:sz="0" w:space="0" w:color="auto"/>
        <w:right w:val="none" w:sz="0" w:space="0" w:color="auto"/>
      </w:divBdr>
    </w:div>
    <w:div w:id="779373283">
      <w:bodyDiv w:val="1"/>
      <w:marLeft w:val="0"/>
      <w:marRight w:val="0"/>
      <w:marTop w:val="0"/>
      <w:marBottom w:val="0"/>
      <w:divBdr>
        <w:top w:val="none" w:sz="0" w:space="0" w:color="auto"/>
        <w:left w:val="none" w:sz="0" w:space="0" w:color="auto"/>
        <w:bottom w:val="none" w:sz="0" w:space="0" w:color="auto"/>
        <w:right w:val="none" w:sz="0" w:space="0" w:color="auto"/>
      </w:divBdr>
    </w:div>
    <w:div w:id="932474062">
      <w:bodyDiv w:val="1"/>
      <w:marLeft w:val="0"/>
      <w:marRight w:val="0"/>
      <w:marTop w:val="0"/>
      <w:marBottom w:val="0"/>
      <w:divBdr>
        <w:top w:val="none" w:sz="0" w:space="0" w:color="auto"/>
        <w:left w:val="none" w:sz="0" w:space="0" w:color="auto"/>
        <w:bottom w:val="none" w:sz="0" w:space="0" w:color="auto"/>
        <w:right w:val="none" w:sz="0" w:space="0" w:color="auto"/>
      </w:divBdr>
    </w:div>
    <w:div w:id="1108426396">
      <w:bodyDiv w:val="1"/>
      <w:marLeft w:val="0"/>
      <w:marRight w:val="0"/>
      <w:marTop w:val="0"/>
      <w:marBottom w:val="0"/>
      <w:divBdr>
        <w:top w:val="none" w:sz="0" w:space="0" w:color="auto"/>
        <w:left w:val="none" w:sz="0" w:space="0" w:color="auto"/>
        <w:bottom w:val="none" w:sz="0" w:space="0" w:color="auto"/>
        <w:right w:val="none" w:sz="0" w:space="0" w:color="auto"/>
      </w:divBdr>
    </w:div>
    <w:div w:id="1204555259">
      <w:bodyDiv w:val="1"/>
      <w:marLeft w:val="0"/>
      <w:marRight w:val="0"/>
      <w:marTop w:val="0"/>
      <w:marBottom w:val="0"/>
      <w:divBdr>
        <w:top w:val="none" w:sz="0" w:space="0" w:color="auto"/>
        <w:left w:val="none" w:sz="0" w:space="0" w:color="auto"/>
        <w:bottom w:val="none" w:sz="0" w:space="0" w:color="auto"/>
        <w:right w:val="none" w:sz="0" w:space="0" w:color="auto"/>
      </w:divBdr>
    </w:div>
    <w:div w:id="1311716360">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 w:id="208221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576BF4FB-E797-4344-8640-EE92B4673A25}">
  <ds:schemaRefs>
    <ds:schemaRef ds:uri="http://schemas.microsoft.com/sharepoint/v3/contenttype/forms"/>
  </ds:schemaRefs>
</ds:datastoreItem>
</file>

<file path=customXml/itemProps3.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326</TotalTime>
  <Pages>4</Pages>
  <Words>1208</Words>
  <Characters>6888</Characters>
  <Application>Microsoft Office Word</Application>
  <DocSecurity>0</DocSecurity>
  <Lines>57</Lines>
  <Paragraphs>16</Paragraphs>
  <ScaleCrop>false</ScaleCrop>
  <Company>Qualcomm Incorporated</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1211</cp:revision>
  <dcterms:created xsi:type="dcterms:W3CDTF">2024-03-28T10:16:00Z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